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highlight w:val="none"/>
        </w:rPr>
      </w:pPr>
      <w:r>
        <w:rPr>
          <w:b/>
          <w:sz w:val="28"/>
          <w:highlight w:val="none"/>
        </w:rPr>
        <w:t xml:space="preserve">ПОЯСНИТЕЛЬНАЯ ЗАПИСКА</w:t>
      </w:r>
      <w:r>
        <w:rPr>
          <w:b/>
          <w:sz w:val="28"/>
          <w:highlight w:val="none"/>
        </w:rPr>
      </w:r>
      <w:r>
        <w:rPr>
          <w:b/>
          <w:sz w:val="28"/>
          <w:highlight w:val="none"/>
        </w:rPr>
      </w:r>
    </w:p>
    <w:p>
      <w:pPr>
        <w:jc w:val="center"/>
        <w:rPr>
          <w:sz w:val="28"/>
          <w:highlight w:val="none"/>
        </w:rPr>
      </w:pPr>
      <w:r>
        <w:rPr>
          <w:sz w:val="28"/>
          <w:highlight w:val="none"/>
        </w:rPr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jc w:val="center"/>
        <w:rPr>
          <w:b/>
          <w:sz w:val="28"/>
          <w:highlight w:val="none"/>
        </w:rPr>
      </w:pPr>
      <w:r>
        <w:rPr>
          <w:b/>
          <w:sz w:val="28"/>
          <w:highlight w:val="none"/>
        </w:rPr>
        <w:t xml:space="preserve">к проекту решения Думы города Владивостока «О принятии </w:t>
      </w:r>
      <w:r>
        <w:rPr>
          <w:b/>
          <w:sz w:val="28"/>
          <w:highlight w:val="none"/>
        </w:rPr>
      </w:r>
      <w:r>
        <w:rPr>
          <w:b/>
          <w:sz w:val="28"/>
          <w:highlight w:val="none"/>
        </w:rPr>
      </w:r>
    </w:p>
    <w:p>
      <w:pPr>
        <w:jc w:val="center"/>
        <w:rPr>
          <w:b/>
          <w:sz w:val="28"/>
          <w:highlight w:val="none"/>
        </w:rPr>
      </w:pPr>
      <w:r>
        <w:rPr>
          <w:b/>
          <w:sz w:val="28"/>
          <w:highlight w:val="none"/>
        </w:rPr>
        <w:t xml:space="preserve">муниципального правового акта города Владивостока «О внесении изменений в муниципальный правовой акт города Владивостока от 23.12.2025 № 204-МПА «О бюджете Владивостокского  городского округа </w:t>
      </w:r>
      <w:r>
        <w:rPr>
          <w:b/>
          <w:sz w:val="28"/>
          <w:highlight w:val="none"/>
        </w:rPr>
      </w:r>
      <w:r>
        <w:rPr>
          <w:b/>
          <w:sz w:val="28"/>
          <w:highlight w:val="none"/>
        </w:rPr>
      </w:r>
    </w:p>
    <w:p>
      <w:pPr>
        <w:jc w:val="center"/>
        <w:rPr>
          <w:b/>
          <w:sz w:val="28"/>
          <w:szCs w:val="28"/>
          <w:highlight w:val="none"/>
        </w:rPr>
      </w:pPr>
      <w:r>
        <w:rPr>
          <w:b/>
          <w:sz w:val="28"/>
          <w:highlight w:val="none"/>
        </w:rPr>
        <w:t xml:space="preserve">на 2026 год и плановый период 2027 и 2028 годов»</w:t>
      </w:r>
      <w:r>
        <w:rPr>
          <w:b/>
          <w:sz w:val="28"/>
          <w:szCs w:val="28"/>
          <w:highlight w:val="none"/>
        </w:rPr>
        <w:t xml:space="preserve"> </w:t>
      </w: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sz w:val="28"/>
          <w:highlight w:val="none"/>
        </w:rPr>
      </w:pPr>
      <w:r>
        <w:rPr>
          <w:sz w:val="28"/>
          <w:highlight w:val="none"/>
        </w:rPr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ind w:firstLine="709"/>
        <w:jc w:val="both"/>
        <w:spacing w:line="360" w:lineRule="auto"/>
        <w:rPr>
          <w:highlight w:val="none"/>
        </w:rPr>
      </w:pPr>
      <w:r>
        <w:rPr>
          <w:sz w:val="28"/>
          <w:highlight w:val="none"/>
        </w:rPr>
        <w:t xml:space="preserve">Внесение изменений в муниципальный правовой акт города Владивостока от 23.12.2025 № 204-МП</w:t>
      </w:r>
      <w:r>
        <w:rPr>
          <w:sz w:val="28"/>
          <w:highlight w:val="none"/>
        </w:rPr>
        <w:t xml:space="preserve">А</w:t>
      </w:r>
      <w:r>
        <w:rPr>
          <w:sz w:val="28"/>
          <w:highlight w:val="none"/>
        </w:rPr>
        <w:t xml:space="preserve"> «О бюджете Владивостокского г</w:t>
      </w:r>
      <w:r>
        <w:rPr>
          <w:sz w:val="28"/>
          <w:highlight w:val="none"/>
        </w:rPr>
        <w:t xml:space="preserve">ородского округа на 2026 год и плановый период 2027 и 2028 годов» (далее – проект) обусловлено необходимостью корректировки доходной и расходной частей бюджета Владивостокского городского округа в связи с уточнением объема налоговых и неналоговых доходов, </w:t>
      </w:r>
      <w:r>
        <w:rPr>
          <w:sz w:val="28"/>
          <w:szCs w:val="28"/>
          <w:highlight w:val="none"/>
        </w:rPr>
        <w:t xml:space="preserve">межбюджетных трансфертов и и</w:t>
      </w:r>
      <w:r>
        <w:rPr>
          <w:sz w:val="28"/>
          <w:szCs w:val="28"/>
          <w:highlight w:val="none"/>
        </w:rPr>
        <w:t xml:space="preserve">сточ</w:t>
      </w:r>
      <w:r>
        <w:rPr>
          <w:sz w:val="28"/>
          <w:szCs w:val="28"/>
          <w:highlight w:val="none"/>
        </w:rPr>
        <w:t xml:space="preserve">ников </w:t>
      </w:r>
      <w:r>
        <w:rPr>
          <w:sz w:val="28"/>
          <w:szCs w:val="28"/>
          <w:highlight w:val="none"/>
        </w:rPr>
        <w:t xml:space="preserve">внутреннего финансирования дефицита бюджета.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highlight w:val="none"/>
        </w:rPr>
      </w:pPr>
      <w:r>
        <w:rPr>
          <w:sz w:val="28"/>
          <w:szCs w:val="28"/>
          <w:highlight w:val="none"/>
        </w:rPr>
        <w:t xml:space="preserve">1. В связи с вносимыми изменениями параметры </w:t>
      </w:r>
      <w:r>
        <w:rPr>
          <w:sz w:val="28"/>
          <w:highlight w:val="none"/>
        </w:rPr>
        <w:t xml:space="preserve">бюджета Владивостокского городского округа составят:</w:t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p>
      <w:pPr>
        <w:contextualSpacing/>
        <w:ind w:firstLine="709"/>
        <w:jc w:val="right"/>
        <w:spacing w:line="360" w:lineRule="auto"/>
        <w:rPr>
          <w:sz w:val="28"/>
          <w:highlight w:val="none"/>
        </w:rPr>
      </w:pPr>
      <w:r>
        <w:rPr>
          <w:sz w:val="28"/>
          <w:highlight w:val="none"/>
        </w:rPr>
        <w:t xml:space="preserve">рублей</w:t>
      </w:r>
      <w:r>
        <w:rPr>
          <w:sz w:val="28"/>
          <w:highlight w:val="none"/>
        </w:rPr>
      </w:r>
      <w:r>
        <w:rPr>
          <w:sz w:val="28"/>
          <w:highlight w:val="none"/>
        </w:rPr>
      </w:r>
    </w:p>
    <w:tbl>
      <w:tblPr>
        <w:tblW w:w="972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414"/>
        <w:gridCol w:w="2126"/>
        <w:gridCol w:w="2126"/>
        <w:gridCol w:w="2059"/>
      </w:tblGrid>
      <w:tr>
        <w:tblPrEx/>
        <w:trPr>
          <w:trHeight w:val="39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Наименование показателя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2026 год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2027 год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2028 год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ДОХОДЫ, всего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36 426 928 124,70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31 773 889 654,12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44 200 914 446,45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налоговые и неналоговые доходы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17 356 814 000,00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15  909 826 000,00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16 677 839 000,00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безвозмездные поступления, всего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19 070 114 124,70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15 864 063 654,12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27 523 075 446,45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43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в том числе: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1084"/>
        </w:trPr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безвозмездные поступления от других бюджетов бюджетной системы РФ (межбюджетные трансферты)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19 070 114 124,70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15 864 063 654,12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27 523 075 446,45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80"/>
        </w:trPr>
        <w:tc>
          <w:tcPr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РАСХОДЫ, всего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36 240 501 466,52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31 107 689 654,12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43 666 914 446,45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349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Всего распределено расходов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  <w:t xml:space="preserve">36 240 501 466,52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29 052 515 091,83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color w:val="000000" w:themeColor="text1"/>
                <w:sz w:val="23"/>
                <w:szCs w:val="23"/>
                <w:highlight w:val="none"/>
              </w:rPr>
            </w:pPr>
            <w:r>
              <w:rPr>
                <w:color w:val="000000" w:themeColor="text1"/>
                <w:sz w:val="23"/>
                <w:szCs w:val="23"/>
                <w:highlight w:val="none"/>
              </w:rPr>
              <w:t xml:space="preserve">40 965 619 231,71</w:t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  <w:r>
              <w:rPr>
                <w:color w:val="000000" w:themeColor="text1"/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условно утверждаемые расходы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2 055 174 562,29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2 701 295 214,74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  <w:tr>
        <w:tblPrEx/>
        <w:trPr>
          <w:trHeight w:val="434"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41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ДЕФИЦИ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Т(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-)/ПРОФИЦИТ(+)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186 426 658,18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126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666 200 000,00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W w:w="2059" w:type="dxa"/>
            <w:vAlign w:val="center"/>
            <w:textDirection w:val="lrTb"/>
            <w:noWrap/>
          </w:tcPr>
          <w:p>
            <w:pPr>
              <w:jc w:val="right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534 000 000,00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  <w:highlight w:val="none"/>
              </w:rPr>
            </w:r>
          </w:p>
        </w:tc>
      </w:tr>
    </w:tbl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contextualSpacing w:val="0"/>
        <w:ind w:firstLine="709"/>
        <w:jc w:val="both"/>
        <w:spacing w:before="0" w:line="360" w:lineRule="auto"/>
        <w:rPr>
          <w:sz w:val="28"/>
          <w:szCs w:val="28"/>
          <w:highlight w:val="none"/>
          <w14:ligatures w14:val="none"/>
        </w:rPr>
        <w:suppressLineNumbers w:val="0"/>
      </w:pPr>
      <w:r>
        <w:rPr>
          <w:sz w:val="28"/>
          <w:szCs w:val="28"/>
          <w:highlight w:val="none"/>
        </w:rPr>
        <w:t xml:space="preserve">2. Доходы.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highlight w:val="white"/>
        </w:rPr>
        <w:t xml:space="preserve">Внесение изменений и дополнений в муниципальный правовой акт города Владивостока от 23.12.2025 № 204-МПА</w:t>
      </w:r>
      <w:r>
        <w:rPr>
          <w:rFonts w:ascii="Times New Roman" w:hAnsi="Times New Roman" w:eastAsia="Times New Roman" w:cs="Times New Roman"/>
          <w:color w:val="ff0000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«О бюджете Владивостокского городского округа на 2026 год и плановый период 2027 и 2028 годов»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обусловлено необходимостью корректировки доходной части бюджета Владивостокского городского округа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в связи с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увеличением  налоговых и неналоговых доходов, а также в связи с уточнением объема безвозмездных поступлений.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highlight w:val="white"/>
        </w:rPr>
        <w:t xml:space="preserve">План по доходам на 2026 год увеличен н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267 817 498,89 рублей и составят 36 426 928 124,70 рублей. 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Налоговые доходы 2026 года увеличены на 154 621 000,00 рублей и составят 14 450 245 000,00 рублей.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основании сведений, представленных Межрайонной ИФНС России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№ 12 план: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увеличен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по налогу на имущество физических лиц на сумму               126 458 000,00 рублей 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по земельному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налогу на сумму 141 966 000,00 рублей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, в связи с увеличением кадастровой стоимости и отменой моратория на применение кадастровой стоимости, действующей в 2023 году, согласно Федеральному закону от 26.03.2022 № 67-ФЗ;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 патентной системе налогообл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ожения на сумму 113 803 000,00 рублей, в связи с внесением изменений в пункт 6 подпункта 1 статьи 346.45 Налогового кодекса Российской Федерации (в ред. Фед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ерального закона от 28.11.2025 № 425-ФЗ)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Неналоговые доходы в 2026 году увеличены на 103 317 000,00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с. рублей и составят 2 906 569 000,00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contextualSpacing w:val="0"/>
        <w:ind w:firstLine="709"/>
        <w:jc w:val="both"/>
        <w:spacing w:before="0" w:after="0" w:line="360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культуры, уменьшен план 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доходам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автономных учреждений),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сумму 28 000,00 рублей в связи с окончанием действия договора в  2025 году.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74"/>
        <w:contextualSpacing w:val="0"/>
        <w:ind w:firstLine="709"/>
        <w:jc w:val="both"/>
        <w:spacing w:before="0" w:line="360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авлением развития предпринимательства и потребительского рынка администрации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города Владивостока, 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читывая фактическое поступление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денежных средств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январе 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март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 2026 года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 право размещения нестационарных торговых объектов (далее – НТО), увеличены плановые назначения на 11 271 000,00 рублей,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том числе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774"/>
        <w:contextualSpacing w:val="0"/>
        <w:ind w:firstLine="851"/>
        <w:jc w:val="both"/>
        <w:spacing w:before="0"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плата за право включения хозяйствующего субъекта в Схему без проведения аукциона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сумму 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1 000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,00  рублей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 w:val="0"/>
        <w:ind w:firstLine="851"/>
        <w:jc w:val="both"/>
        <w:spacing w:before="0"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плата за размещение НТО на сумму 11 260 000,00 рублей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 w:val="0"/>
        <w:ind w:firstLine="851"/>
        <w:jc w:val="both"/>
        <w:spacing w:before="0" w:line="360" w:lineRule="auto"/>
        <w:rPr>
          <w:rFonts w:ascii="Times New Roman" w:hAnsi="Times New Roman" w:eastAsia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основании сведений,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представленных 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правлением градостроительства увеличен план: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contextualSpacing w:val="0"/>
        <w:ind w:firstLine="851"/>
        <w:jc w:val="both"/>
        <w:spacing w:before="0" w:line="360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 по п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рочим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поступлениям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(средства 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т продажи права на заключение договора о развитии застроенной территории, договора о комплексном развитии территории),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сумму 29 149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0,00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в связи с фактическим поступлением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проведенного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аукциона № 2/2026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право заключения договора о комплексном развитии территории жилой застройки ул. Тюменская города Владивостока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05.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02.2026;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0" w:right="0" w:firstLine="0"/>
        <w:jc w:val="both"/>
        <w:spacing w:before="0" w:line="360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-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по п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рочим доходам от оказания платных услуг (работ) получателями средств бюджетов городских округов (платные услуги, оказываемые муниципальными казенными учреждениями)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на сумму 821 000,00 рублей в связи с заключением 27.03.2026 договора на выполнение платных работ МКУ «ГПТ».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 связи с внесением изменений в Бюджетный кодекс Российской Федерации с 01.01.2026,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сведения о прогнозируемых поступлениях платы за негативное воздействие на окружающую среду на 2026 год,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полученные от Дальневосточного межрегионального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Росприроднадзора,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администрацию города Владивостока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предоставлены Министерством финансов Приморского края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22.10.2025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после утверждения проекта бюджета на 2026 год и плановый период 2027-2028 годов).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данных сведений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                      45 213 000,00 рублей 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величена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сумма доходов за негативное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воздействие на окружающую среду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, в том числе: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- по п</w:t>
      </w:r>
      <w:r>
        <w:rPr>
          <w:rFonts w:ascii="Times New Roman" w:hAnsi="Times New Roman" w:eastAsia="Times New Roman" w:cs="Times New Roman"/>
          <w:bCs/>
          <w:color w:val="000000"/>
          <w:sz w:val="28"/>
          <w:szCs w:val="28"/>
        </w:rPr>
        <w:t xml:space="preserve">лате за выбросы загрязняющих веществ в атмосферный воздух стационарными объектами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 на сумму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2 455 000,00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рублей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contextualSpacing w:val="0"/>
        <w:ind w:left="709" w:firstLine="0"/>
        <w:jc w:val="both"/>
        <w:spacing w:before="0" w:line="36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- по плате за сбр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осы загрязняющих веществ в водные объекты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на сумму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12 965 000,00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 рублей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- по плате за размещение отходов производства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на сумму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14 345 000,00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 рублей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по плате за размещение твердых коммунальных отходов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на су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мму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15 448 000,00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Увеличены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 доходы от компенсации затрат государства от возврата дебиторской задолженности  и иных платежей прошлых лет на 3 600 000,00  рублей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eastAsia="Times New Roman" w:cs="Times New Roman"/>
          <w:sz w:val="28"/>
        </w:rPr>
        <w:t xml:space="preserve">счет фактического поступ</w:t>
      </w:r>
      <w:r>
        <w:rPr>
          <w:rFonts w:ascii="Times New Roman" w:hAnsi="Times New Roman" w:eastAsia="Times New Roman" w:cs="Times New Roman"/>
          <w:sz w:val="28"/>
        </w:rPr>
        <w:t xml:space="preserve">ления.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Доходы от штрафов, санкций, возмещения ущерба увеличены на                 13 291 000,00 рублей: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 основании сведений, представленных управлением охраны окружающей среды и природопользования администрации города Владивостока,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прочие неналого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вые доходы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 -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 платежи 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оловства и среде их обитания), подлежащие зачислению в бюджет муниципального образования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zh-CN"/>
        </w:rPr>
        <w:t xml:space="preserve">ы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  <w:lang w:eastAsia="zh-CN"/>
        </w:rPr>
        <w:t xml:space="preserve"> в сумме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  <w:lang w:eastAsia="zh-CN"/>
        </w:rPr>
        <w:t xml:space="preserve">6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  <w:lang w:eastAsia="zh-CN"/>
        </w:rPr>
        <w:t xml:space="preserve"> 900 000,00 рублей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color w:val="00000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авлением развития предпринимательства и потребительского рынка администрации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города Владивостока,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</w:rPr>
        <w:t xml:space="preserve">увеличена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сумма поступлений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по иным штрафам, неустойкам, пени, уплаченным в соответствии с законом или договором в случае неисполнения или ненадлежащего исполнения обязательств перед муниципаль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ным органом, (муниципальным казенным учреждением) городского округа на сумму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5 896 000,00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рублей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 связи с фактическим поступлением денежных средств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авлением культуры администрации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города Владивостока,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связи с уточненным расчетом по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</w:rPr>
        <w:t xml:space="preserve">етодике прогнозирования поступлений неналоговых доходов в бюджет Владивостокского городского округа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white"/>
          <w:u w:val="none"/>
        </w:rPr>
        <w:t xml:space="preserve">уме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white"/>
          <w:u w:val="none"/>
        </w:rPr>
        <w:t xml:space="preserve">н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u w:val="none"/>
        </w:rPr>
        <w:t xml:space="preserve">ьшена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сумма поступлений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по иным штрафам, неустойкам на сумму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u w:val="none"/>
        </w:rPr>
        <w:t xml:space="preserve">4 000,00 рублей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u w:val="non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в том числе: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0" w:right="0" w:firstLine="709"/>
        <w:jc w:val="both"/>
        <w:spacing w:before="0" w:after="0" w:line="360" w:lineRule="auto"/>
        <w:widowControl w:val="off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сумму 2 000,00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рублей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74"/>
        <w:contextualSpacing w:val="0"/>
        <w:ind w:left="0" w:firstLine="709"/>
        <w:jc w:val="both"/>
        <w:spacing w:before="0" w:line="360" w:lineRule="auto"/>
        <w:rPr>
          <w:rFonts w:ascii="Times New Roman" w:hAnsi="Times New Roman" w:cs="Times New Roman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иные штрафы, неустойки, пени, уплаченные в соответствии с законом или договором в случае неисполнения или ненадлежащего исполнения обязательств 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еред муниципальным органом, (муниципальным казенным учреждением) городского округа (штрафы, неустойки, пени в случае неисполнения или ненадлежащего исполнения поставщиком (подрядчиком, исполнителем) обязательств, предусмотренных муниципальным контрактом,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сумму 2 000,00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авлением городской среды администрации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города Владивостока, </w:t>
      </w:r>
      <w:r>
        <w:rPr>
          <w:rFonts w:ascii="Times New Roman" w:hAnsi="Times New Roman" w:eastAsia="Times New Roman" w:cs="Times New Roman"/>
          <w:sz w:val="28"/>
          <w:szCs w:val="28"/>
          <w:u w:val="none"/>
        </w:rPr>
        <w:t xml:space="preserve">увеличены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доходы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на сумму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76 000,00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eastAsia="zh-CN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в связи с фактиче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ским поступлением денежных средств, в том числе: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 w:val="0"/>
        <w:ind w:left="0" w:right="0" w:firstLine="709"/>
        <w:jc w:val="both"/>
        <w:spacing w:before="0" w:line="360" w:lineRule="auto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- штрафы, неустойки, пени, уплаченные в случае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просрочки исполнения поставщиком (подрядчиком,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исполнителем) обязательств, предусмотренных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муниципальным контрактом, заключенным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муниципальным органом, казенным учреждением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городского округа,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на сумму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50 000,00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рублей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contextualSpacing w:val="0"/>
        <w:ind w:left="0" w:right="0" w:firstLine="709"/>
        <w:jc w:val="both"/>
        <w:spacing w:before="0" w:line="360" w:lineRule="auto"/>
        <w:widowControl w:val="off"/>
        <w:rPr>
          <w:rFonts w:ascii="Times New Roman" w:hAnsi="Times New Roman" w:cs="Times New Roman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иные штрафы, неустойки, пени, уплаченные 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соответствии с законом или договором в случае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неисполнения или ненадлежащего исполнения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обязательств перед муниципальным органом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(муниципальным казенным учреждением) городского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округа (штрафы, неустойки, пени в случае неисполнения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или ненадлежащего исполнения поставщиком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(подрядчиком, исполнителем) обязательств,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  <w:t xml:space="preserve">предусмотренных муниципальным контрактом),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на сумму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15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000,00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рублей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 w:val="0"/>
        <w:ind w:left="0" w:right="0" w:firstLine="709"/>
        <w:jc w:val="both"/>
        <w:spacing w:before="0" w:line="360" w:lineRule="auto"/>
        <w:widowControl w:val="off"/>
        <w:rPr>
          <w:rFonts w:ascii="Times New Roman" w:hAnsi="Times New Roman" w:cs="Times New Roman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- прочее возмещение ущерба, причиненного 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муниципальному имуществу городского округа (за 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исключением имущества, закрепленного за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муниципальными бюджетными (автономными) 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учреждениями, унитарными предприятиями),</w:t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на сумм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11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000,00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рублей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 w:val="0"/>
        <w:ind w:firstLine="709"/>
        <w:jc w:val="both"/>
        <w:spacing w:before="0" w:line="360" w:lineRule="auto"/>
        <w:widowControl w:val="off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 основании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сведений, представленных упр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авлением по работе с муниципальными учреждениями образования администрации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города Владивостока, увеличены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доходы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на сумму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zh-CN"/>
        </w:rPr>
        <w:t xml:space="preserve">423 000,00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eastAsia="zh-CN"/>
        </w:rPr>
        <w:t xml:space="preserve"> рублей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в связи с фактиче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ским поступлением денежных средств, в том числе: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 w:val="0"/>
        <w:ind w:left="0" w:firstLine="709"/>
        <w:jc w:val="both"/>
        <w:spacing w:before="0" w:line="360" w:lineRule="auto"/>
        <w:rPr>
          <w:rFonts w:ascii="Times New Roman" w:hAnsi="Times New Roman" w:cs="Times New Roman"/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штраф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ы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округа,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на сумму 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 290 000,00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рублей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contextualSpacing w:val="0"/>
        <w:ind w:left="0" w:firstLine="709"/>
        <w:jc w:val="both"/>
        <w:spacing w:before="0" w:line="360" w:lineRule="auto"/>
        <w:rPr>
          <w:rFonts w:ascii="Times New Roman" w:hAnsi="Times New Roman" w:cs="Times New Roman"/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ем) городского округа (штрафы, неустойки, пени в случае неисполнения или ненадлежащего исполнения поставщиком (подрядчиком, исполнителем) обязательств, предусмотренных муниципальным контрактом),  на сумму 51 000,00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рублей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contextualSpacing w:val="0"/>
        <w:ind w:left="0" w:firstLine="709"/>
        <w:jc w:val="both"/>
        <w:spacing w:before="0" w:line="360" w:lineRule="auto"/>
        <w:rPr>
          <w:rFonts w:ascii="Times New Roman" w:hAnsi="Times New Roman" w:cs="Times New Roman"/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- денежные взыскания, налагаемые в возме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щение ущерба, причиненного в результате незаконного или нецелевого использования бюджетных средств (в части бюджетов городских окру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гов), на сумму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</w:rPr>
        <w:t xml:space="preserve">82 000,00  рублей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contextualSpacing w:val="0"/>
        <w:ind w:firstLine="709"/>
        <w:jc w:val="both"/>
        <w:spacing w:before="0" w:line="360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sz w:val="28"/>
          <w:highlight w:val="none"/>
        </w:rPr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Увеличены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безвозмездные поступления от других бюджетов бюджетной системы Российской Федерации на 2026 год на сумму 9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897 498,89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ублей               и составят 19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070 114 124,70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рублей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аконом Приморского к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ая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17.12.2025 № 930-КЗ «О краевом бюджете на 2026 год и плановый период 2027 и 2028 годов»</w:t>
      </w:r>
      <w:r>
        <w:rPr>
          <w:rFonts w:ascii="Times New Roman" w:hAnsi="Times New Roman" w:eastAsia="Times New Roman" w:cs="Times New Roman"/>
          <w:sz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  <w:t xml:space="preserve">Объем межбюджетных трансфертов, получаемых бюджетом Владивостокского городского округа в 2026 году из других бюджетов</w:t>
      </w:r>
      <w:r>
        <w:rPr>
          <w:bCs/>
          <w:color w:val="000000"/>
          <w:sz w:val="28"/>
          <w:szCs w:val="28"/>
          <w:highlight w:val="none"/>
        </w:rPr>
        <w:t xml:space="preserve"> бюджетной системы Российской Федерации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contextualSpacing w:val="0"/>
        <w:ind w:left="0" w:right="141" w:firstLine="709"/>
        <w:jc w:val="right"/>
        <w:spacing w:before="0" w:after="0" w:line="360" w:lineRule="auto"/>
        <w:rPr>
          <w:color w:val="000000"/>
          <w:sz w:val="24"/>
          <w:szCs w:val="24"/>
          <w:highlight w:val="none"/>
        </w:rPr>
        <w:suppressLineNumbers w:val="0"/>
      </w:pPr>
      <w:r>
        <w:rPr>
          <w:bCs/>
          <w:color w:val="000000"/>
          <w:sz w:val="28"/>
          <w:szCs w:val="28"/>
          <w:highlight w:val="none"/>
        </w:rPr>
        <w:t xml:space="preserve">тыс</w:t>
      </w:r>
      <w:r>
        <w:rPr>
          <w:bCs/>
          <w:color w:val="000000"/>
          <w:sz w:val="28"/>
          <w:szCs w:val="28"/>
          <w:highlight w:val="none"/>
        </w:rPr>
        <w:t xml:space="preserve">.р</w:t>
      </w:r>
      <w:r>
        <w:rPr>
          <w:bCs/>
          <w:color w:val="000000"/>
          <w:sz w:val="28"/>
          <w:szCs w:val="28"/>
          <w:highlight w:val="none"/>
        </w:rPr>
        <w:t xml:space="preserve">ублей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690"/>
        <w:gridCol w:w="1985"/>
        <w:gridCol w:w="1985"/>
        <w:gridCol w:w="1843"/>
      </w:tblGrid>
      <w:tr>
        <w:tblPrEx/>
        <w:trPr>
          <w:trHeight w:val="349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9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  <w:p>
            <w:pPr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2026 год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5"/>
          <w:tblHeader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-МПА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 от 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.202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Проект бюджета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Отклонение 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2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Всего межбюджетных трансфертов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19 060 234,6</w:t>
            </w: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19 070 114,12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9 879,50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2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 на 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863,31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863,31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25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 обеспечение 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 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17 419,13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14 806,26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-2 612,87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15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 государственную поддержку организаций, входящих в систему спортивной подготовки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3 377,78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3 377,78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6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  <w:t xml:space="preserve">Субсидии  на модернизацию муниципальных библиотек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2 500,00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1 500,00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-1 000,00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94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 приобретение специализированной дорожной техники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102 600,00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82 600,00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-20 000,00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98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 содержание автомобильных дорог местного значения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46 850,79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46 850,81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0,0</w:t>
            </w: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1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</w:t>
            </w:r>
            <w:r>
              <w:rPr>
                <w:sz w:val="24"/>
                <w:szCs w:val="24"/>
                <w:highlight w:val="none"/>
              </w:rPr>
              <w:t xml:space="preserve"> п</w:t>
            </w:r>
            <w:r>
              <w:rPr>
                <w:sz w:val="24"/>
                <w:szCs w:val="24"/>
                <w:highlight w:val="none"/>
              </w:rPr>
              <w:t xml:space="preserve">риобретение подвижного состава пассажирского транспорта общего пользования  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89 161,98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49 161,98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-40 000,00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2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</w:t>
            </w:r>
            <w:r>
              <w:rPr>
                <w:sz w:val="24"/>
                <w:szCs w:val="24"/>
                <w:highlight w:val="none"/>
              </w:rPr>
              <w:t xml:space="preserve"> п</w:t>
            </w:r>
            <w:r>
              <w:rPr>
                <w:sz w:val="24"/>
                <w:szCs w:val="24"/>
                <w:highlight w:val="none"/>
              </w:rPr>
              <w:t xml:space="preserve">риобретение подвижного состава пассажирского транспорта по договору лизинга 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325 560,95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385 560,95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60 000,00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98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Субсидии на создание постоянно действующей экспозиции Национального центра «Рос</w:t>
            </w:r>
            <w:r>
              <w:rPr>
                <w:sz w:val="24"/>
                <w:szCs w:val="24"/>
                <w:highlight w:val="none"/>
              </w:rPr>
              <w:t xml:space="preserve">сия»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  <w:t xml:space="preserve">0,00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1 658,27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1 658,27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193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Merge w:val="restart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141 584,59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149 177,58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7 592,99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ind w:left="0" w:right="141" w:firstLine="0"/>
        <w:jc w:val="left"/>
        <w:spacing w:line="276" w:lineRule="auto"/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  <w:highlight w:val="yellow"/>
        </w:rPr>
      </w:r>
      <w:r>
        <w:rPr>
          <w:color w:val="000000"/>
          <w:sz w:val="24"/>
          <w:szCs w:val="24"/>
          <w:highlight w:val="yellow"/>
        </w:rPr>
      </w:r>
      <w:r>
        <w:rPr>
          <w:color w:val="000000"/>
          <w:sz w:val="24"/>
          <w:szCs w:val="24"/>
          <w:highlight w:val="yellow"/>
        </w:rPr>
      </w:r>
    </w:p>
    <w:p>
      <w:pPr>
        <w:contextualSpacing w:val="0"/>
        <w:ind w:firstLine="709"/>
        <w:jc w:val="both"/>
        <w:spacing w:before="0" w:line="360" w:lineRule="auto"/>
        <w:rPr>
          <w:rFonts w:ascii="Times New Roman" w:hAnsi="Times New Roman" w:cs="Times New Roman"/>
          <w:sz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highlight w:val="white"/>
        </w:rPr>
        <w:t xml:space="preserve">План по доходам на 2027 год увеличен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на 728,07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ублей          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и составит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31 773 889 654,12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рублей.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contextualSpacing w:val="0"/>
        <w:ind w:firstLine="709"/>
        <w:jc w:val="both"/>
        <w:spacing w:before="0" w:line="360" w:lineRule="auto"/>
        <w:rPr>
          <w:rFonts w:ascii="Times New Roman" w:hAnsi="Times New Roman" w:cs="Times New Roman"/>
          <w:sz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highlight w:val="white"/>
        </w:rPr>
        <w:t xml:space="preserve">Увеличены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безвозмездные поступления от других бюджетов бюджетной системы Российской Федерации на 2027 год на сумму 728,07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рублей  и составят 15 864 063 654,12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рублей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аконом Приморского края 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17.12.2025 № 930-КЗ «О краевом бюджете на 2026 год и плановый период 2027 и 2028 годов»</w:t>
      </w:r>
      <w:r>
        <w:rPr>
          <w:rFonts w:ascii="Times New Roman" w:hAnsi="Times New Roman" w:eastAsia="Times New Roman" w:cs="Times New Roman"/>
          <w:sz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highlight w:val="none"/>
        </w:rPr>
      </w:r>
      <w:r>
        <w:rPr>
          <w:rFonts w:ascii="Times New Roman" w:hAnsi="Times New Roman" w:cs="Times New Roman"/>
          <w:sz w:val="28"/>
          <w:highlight w:val="none"/>
        </w:rPr>
      </w:r>
    </w:p>
    <w:p>
      <w:pPr>
        <w:ind w:firstLine="709"/>
        <w:jc w:val="center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  <w:t xml:space="preserve">Объем межбюджетных трансфертов, получаемых  бюджетом Владивостокского городского округа в 2027 году из других бюджетов </w:t>
      </w:r>
      <w:r>
        <w:rPr>
          <w:bCs/>
          <w:color w:val="000000"/>
          <w:sz w:val="28"/>
          <w:szCs w:val="28"/>
          <w:highlight w:val="none"/>
        </w:rPr>
        <w:t xml:space="preserve">бюджетной системы Российской Федерации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contextualSpacing w:val="0"/>
        <w:ind w:left="0" w:right="141" w:firstLine="709"/>
        <w:jc w:val="right"/>
        <w:spacing w:before="0" w:after="0" w:line="360" w:lineRule="auto"/>
        <w:rPr>
          <w:color w:val="000000"/>
          <w:sz w:val="28"/>
          <w:szCs w:val="28"/>
          <w:highlight w:val="none"/>
        </w:rPr>
        <w:suppressLineNumbers w:val="0"/>
      </w:pPr>
      <w:r>
        <w:rPr>
          <w:bCs/>
          <w:color w:val="000000"/>
          <w:sz w:val="28"/>
          <w:szCs w:val="28"/>
          <w:highlight w:val="none"/>
        </w:rPr>
        <w:t xml:space="preserve">тыс</w:t>
      </w:r>
      <w:r>
        <w:rPr>
          <w:bCs/>
          <w:color w:val="000000"/>
          <w:sz w:val="28"/>
          <w:szCs w:val="28"/>
          <w:highlight w:val="none"/>
        </w:rPr>
        <w:t xml:space="preserve">.р</w:t>
      </w:r>
      <w:r>
        <w:rPr>
          <w:bCs/>
          <w:color w:val="000000"/>
          <w:sz w:val="28"/>
          <w:szCs w:val="28"/>
          <w:highlight w:val="none"/>
        </w:rPr>
        <w:t xml:space="preserve">ублей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690"/>
        <w:gridCol w:w="1985"/>
        <w:gridCol w:w="1985"/>
        <w:gridCol w:w="1843"/>
      </w:tblGrid>
      <w:tr>
        <w:tblPrEx/>
        <w:trPr>
          <w:trHeight w:val="349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90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13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2027 год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5"/>
          <w:tblHeader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textDirection w:val="lrTb"/>
            <w:noWrap/>
          </w:tcPr>
          <w:p>
            <w:pPr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-МПА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 от 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.202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Проект бюджета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Отклонение 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5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textDirection w:val="lrTb"/>
            <w:noWrap/>
          </w:tcPr>
          <w:p>
            <w:pPr>
              <w:jc w:val="left"/>
              <w:rPr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Всего межбюджетных трансфертов</w:t>
            </w:r>
            <w:r>
              <w:rPr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15 864 062,9</w:t>
            </w: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15 864 063,65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0,73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0" w:type="dxa"/>
            <w:vAlign w:val="center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С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убсидии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ционной сети «Интернет»</w:t>
            </w:r>
            <w:r>
              <w:rPr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5 989,25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5 989,98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restart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0,73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contextualSpacing w:val="0"/>
        <w:ind w:firstLine="709"/>
        <w:jc w:val="both"/>
        <w:spacing w:before="221" w:after="0" w:line="360" w:lineRule="auto"/>
        <w:rPr>
          <w:rFonts w:ascii="Times New Roman" w:hAnsi="Times New Roman" w:cs="Times New Roman"/>
          <w:sz w:val="28"/>
          <w:highlight w:val="white"/>
        </w:rPr>
        <w:suppressLineNumbers w:val="0"/>
      </w:pPr>
      <w:r>
        <w:rPr>
          <w:rFonts w:ascii="Times New Roman" w:hAnsi="Times New Roman" w:eastAsia="Times New Roman" w:cs="Times New Roman"/>
          <w:sz w:val="28"/>
          <w:highlight w:val="white"/>
        </w:rPr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План по доходам на 2028 год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увеличен на 1 502,46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ублей </w:t>
      </w:r>
      <w:r>
        <w:rPr>
          <w:rFonts w:ascii="Times New Roman" w:hAnsi="Times New Roman" w:eastAsia="Times New Roman" w:cs="Times New Roman"/>
          <w:sz w:val="28"/>
          <w:highlight w:val="yellow"/>
        </w:rPr>
        <w:t xml:space="preserve">          </w:t>
      </w:r>
      <w:r>
        <w:rPr>
          <w:rFonts w:ascii="Times New Roman" w:hAnsi="Times New Roman" w:eastAsia="Times New Roman" w:cs="Times New Roman"/>
          <w:sz w:val="28"/>
          <w:highlight w:val="yellow"/>
        </w:rPr>
        <w:t xml:space="preserve">              </w:t>
      </w:r>
      <w:r>
        <w:rPr>
          <w:rFonts w:ascii="Times New Roman" w:hAnsi="Times New Roman" w:eastAsia="Times New Roman" w:cs="Times New Roman"/>
          <w:sz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и составит 44 200 914 446,45  рублей.</w:t>
      </w:r>
      <w:r>
        <w:rPr>
          <w:rFonts w:ascii="Times New Roman" w:hAnsi="Times New Roman" w:cs="Times New Roman"/>
          <w:sz w:val="28"/>
          <w:highlight w:val="white"/>
        </w:rPr>
      </w:r>
      <w:r>
        <w:rPr>
          <w:rFonts w:ascii="Times New Roman" w:hAnsi="Times New Roman" w:cs="Times New Roman"/>
          <w:sz w:val="28"/>
          <w:highlight w:val="white"/>
        </w:rPr>
      </w:r>
    </w:p>
    <w:p>
      <w:pPr>
        <w:contextualSpacing w:val="0"/>
        <w:ind w:firstLine="709"/>
        <w:jc w:val="both"/>
        <w:spacing w:before="0" w:line="360" w:lineRule="auto"/>
        <w:rPr>
          <w:rFonts w:ascii="Times New Roman" w:hAnsi="Times New Roman" w:cs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8"/>
          <w:highlight w:val="white"/>
        </w:rPr>
        <w:t xml:space="preserve">Увеличены безвозмездные поступления от других бюджетов бюджетной системы Российской Федерации на 2028 год на сумму 1 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502,46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рублей и составят 27 523 075 446,45</w:t>
      </w:r>
      <w:r>
        <w:rPr>
          <w:rFonts w:ascii="Times New Roman" w:hAnsi="Times New Roman" w:eastAsia="Times New Roman" w:cs="Times New Roman"/>
          <w:sz w:val="28"/>
          <w:highlight w:val="white"/>
        </w:rPr>
        <w:t xml:space="preserve"> рублей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аконом Приморского края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17.12.2025 № 930-КЗ «О краевом бюджете на 2026 год и плановый период 2027 и 2028 годов»</w:t>
      </w:r>
      <w:r>
        <w:rPr>
          <w:rFonts w:ascii="Times New Roman" w:hAnsi="Times New Roman" w:eastAsia="Times New Roman" w:cs="Times New Roman"/>
          <w:sz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rPr>
          <w:color w:val="000000"/>
          <w:sz w:val="28"/>
          <w:szCs w:val="28"/>
          <w:highlight w:val="none"/>
        </w:rPr>
      </w:pPr>
      <w:r>
        <w:rPr>
          <w:bCs/>
          <w:color w:val="000000"/>
          <w:sz w:val="28"/>
          <w:szCs w:val="28"/>
          <w:highlight w:val="none"/>
        </w:rPr>
        <w:t xml:space="preserve">Объем межбюджетных трансфертов, получаемых  бюджетом Владивостокского городского округа в 2028 году из других бюджетов </w:t>
      </w:r>
      <w:r>
        <w:rPr>
          <w:bCs/>
          <w:color w:val="000000"/>
          <w:sz w:val="28"/>
          <w:szCs w:val="28"/>
          <w:highlight w:val="none"/>
        </w:rPr>
        <w:t xml:space="preserve">бюджетной системы Российской Федерации</w:t>
      </w:r>
      <w:r>
        <w:rPr>
          <w:color w:val="000000"/>
          <w:sz w:val="28"/>
          <w:szCs w:val="28"/>
          <w:highlight w:val="none"/>
        </w:rPr>
      </w:r>
      <w:r>
        <w:rPr>
          <w:color w:val="000000"/>
          <w:sz w:val="28"/>
          <w:szCs w:val="28"/>
          <w:highlight w:val="none"/>
        </w:rPr>
      </w:r>
    </w:p>
    <w:p>
      <w:pPr>
        <w:contextualSpacing w:val="0"/>
        <w:ind w:left="0" w:right="141" w:firstLine="709"/>
        <w:jc w:val="right"/>
        <w:spacing w:before="0" w:after="57" w:line="360" w:lineRule="auto"/>
        <w:rPr>
          <w:bCs/>
          <w:color w:val="000000"/>
          <w:sz w:val="28"/>
          <w:szCs w:val="28"/>
          <w:highlight w:val="none"/>
        </w:rPr>
        <w:suppressLineNumbers w:val="0"/>
      </w:pPr>
      <w:r>
        <w:rPr>
          <w:bCs/>
          <w:color w:val="000000"/>
          <w:sz w:val="28"/>
          <w:szCs w:val="28"/>
          <w:highlight w:val="none"/>
        </w:rPr>
        <w:t xml:space="preserve">тыс</w:t>
      </w:r>
      <w:r>
        <w:rPr>
          <w:bCs/>
          <w:color w:val="000000"/>
          <w:sz w:val="28"/>
          <w:szCs w:val="28"/>
          <w:highlight w:val="none"/>
        </w:rPr>
        <w:t xml:space="preserve">.р</w:t>
      </w:r>
      <w:r>
        <w:rPr>
          <w:bCs/>
          <w:color w:val="000000"/>
          <w:sz w:val="28"/>
          <w:szCs w:val="28"/>
          <w:highlight w:val="none"/>
        </w:rPr>
        <w:t xml:space="preserve">ублей</w:t>
      </w:r>
      <w:r>
        <w:rPr>
          <w:bCs/>
          <w:color w:val="000000"/>
          <w:sz w:val="28"/>
          <w:szCs w:val="28"/>
          <w:highlight w:val="none"/>
        </w:rPr>
      </w:r>
      <w:r>
        <w:rPr>
          <w:bCs/>
          <w:color w:val="000000"/>
          <w:sz w:val="28"/>
          <w:szCs w:val="28"/>
          <w:highlight w:val="none"/>
        </w:rPr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691"/>
        <w:gridCol w:w="1984"/>
        <w:gridCol w:w="1985"/>
        <w:gridCol w:w="1843"/>
      </w:tblGrid>
      <w:tr>
        <w:tblPrEx/>
        <w:trPr>
          <w:trHeight w:val="349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9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Наименование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12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2028 год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695"/>
          <w:tblHeader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1" w:type="dxa"/>
            <w:vAlign w:val="center"/>
            <w:textDirection w:val="lrTb"/>
            <w:noWrap/>
          </w:tcPr>
          <w:p>
            <w:pPr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-МПА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 от 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0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.202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Проект бюджета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Отклонение </w:t>
            </w: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1" w:type="dxa"/>
            <w:vAlign w:val="center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Всего межбюджетных трансфертов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27 523 073,94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27 523 075,4</w:t>
            </w:r>
            <w:r>
              <w:rPr>
                <w:sz w:val="24"/>
                <w:szCs w:val="24"/>
                <w:highlight w:val="none"/>
              </w:rPr>
              <w:t xml:space="preserve">4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1,50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37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91" w:type="dxa"/>
            <w:vAlign w:val="center"/>
            <w:textDirection w:val="lrTb"/>
            <w:noWrap/>
          </w:tcPr>
          <w:p>
            <w:pPr>
              <w:jc w:val="lef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</w:t>
            </w:r>
            <w:r>
              <w:rPr>
                <w:sz w:val="24"/>
                <w:szCs w:val="24"/>
                <w:highlight w:val="none"/>
              </w:rPr>
              <w:t xml:space="preserve">убсидии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</w:t>
            </w:r>
            <w:r>
              <w:rPr>
                <w:sz w:val="24"/>
                <w:szCs w:val="24"/>
                <w:highlight w:val="none"/>
              </w:rPr>
              <w:t xml:space="preserve">ционной сети «Интернет»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12 361,82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12 363,32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1,50</w:t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right"/>
              <w:rPr>
                <w:sz w:val="24"/>
                <w:szCs w:val="24"/>
                <w:highlight w:val="none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  <w:r>
              <w:rPr>
                <w:sz w:val="24"/>
                <w:szCs w:val="24"/>
                <w:highlight w:val="none"/>
                <w14:ligatures w14:val="none"/>
              </w:rPr>
            </w:r>
          </w:p>
        </w:tc>
      </w:tr>
    </w:tbl>
    <w:p>
      <w:pPr>
        <w:ind w:firstLine="709"/>
        <w:jc w:val="both"/>
        <w:spacing w:line="360" w:lineRule="auto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3. Расходы.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09"/>
        <w:jc w:val="both"/>
        <w:spacing w:line="360" w:lineRule="auto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3.1. </w:t>
      </w:r>
      <w:r>
        <w:rPr>
          <w:sz w:val="27"/>
          <w:szCs w:val="27"/>
          <w:highlight w:val="none"/>
        </w:rPr>
        <w:t xml:space="preserve">В 2026 году</w:t>
      </w:r>
      <w:r>
        <w:rPr>
          <w:sz w:val="27"/>
          <w:szCs w:val="27"/>
          <w:highlight w:val="none"/>
        </w:rPr>
        <w:t xml:space="preserve"> проектом предусмотрено увеличение расх</w:t>
      </w:r>
      <w:r>
        <w:rPr>
          <w:sz w:val="27"/>
          <w:szCs w:val="27"/>
          <w:highlight w:val="none"/>
        </w:rPr>
        <w:t xml:space="preserve">одной части бюджета  </w:t>
      </w:r>
      <w:r>
        <w:rPr>
          <w:sz w:val="27"/>
          <w:szCs w:val="27"/>
          <w:highlight w:val="none"/>
        </w:rPr>
        <w:t xml:space="preserve">на сумму 767 817 498,89  </w:t>
      </w:r>
      <w:r>
        <w:rPr>
          <w:sz w:val="27"/>
          <w:szCs w:val="27"/>
          <w:highlight w:val="none"/>
        </w:rPr>
        <w:t xml:space="preserve">р</w:t>
      </w:r>
      <w:r>
        <w:rPr>
          <w:sz w:val="27"/>
          <w:szCs w:val="27"/>
          <w:highlight w:val="none"/>
        </w:rPr>
        <w:t xml:space="preserve">ублей за счет: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09"/>
        <w:jc w:val="both"/>
        <w:spacing w:line="360" w:lineRule="auto"/>
        <w:rPr>
          <w:sz w:val="27"/>
          <w:szCs w:val="27"/>
          <w:highlight w:val="none"/>
          <w14:ligatures w14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  <w:t xml:space="preserve">- увеличения </w:t>
      </w:r>
      <w:r>
        <w:rPr>
          <w:sz w:val="27"/>
          <w:szCs w:val="27"/>
          <w:highlight w:val="none"/>
        </w:rPr>
        <w:t xml:space="preserve">объема безвозмездных поступлений на сумму 9 879 498,89 </w:t>
      </w:r>
      <w:r>
        <w:rPr>
          <w:sz w:val="27"/>
          <w:szCs w:val="27"/>
          <w:highlight w:val="none"/>
        </w:rPr>
        <w:t xml:space="preserve">р</w:t>
      </w:r>
      <w:r>
        <w:rPr>
          <w:sz w:val="27"/>
          <w:szCs w:val="27"/>
          <w:highlight w:val="none"/>
        </w:rPr>
        <w:t xml:space="preserve">у</w:t>
      </w:r>
      <w:r>
        <w:rPr>
          <w:sz w:val="27"/>
          <w:szCs w:val="27"/>
          <w:highlight w:val="none"/>
        </w:rPr>
        <w:t xml:space="preserve">б</w:t>
      </w:r>
      <w:r>
        <w:rPr>
          <w:sz w:val="27"/>
          <w:szCs w:val="27"/>
          <w:highlight w:val="none"/>
        </w:rPr>
        <w:t xml:space="preserve">л</w:t>
      </w:r>
      <w:r>
        <w:rPr>
          <w:sz w:val="27"/>
          <w:szCs w:val="27"/>
          <w:highlight w:val="none"/>
        </w:rPr>
        <w:t xml:space="preserve">е</w:t>
      </w:r>
      <w:r>
        <w:rPr>
          <w:sz w:val="27"/>
          <w:szCs w:val="27"/>
          <w:highlight w:val="none"/>
        </w:rPr>
        <w:t xml:space="preserve">й</w:t>
      </w:r>
      <w:r>
        <w:rPr>
          <w:sz w:val="27"/>
          <w:szCs w:val="27"/>
          <w:highlight w:val="none"/>
        </w:rPr>
        <w:t xml:space="preserve">;</w:t>
      </w:r>
      <w:r>
        <w:rPr>
          <w:sz w:val="27"/>
          <w:szCs w:val="27"/>
          <w:highlight w:val="none"/>
          <w14:ligatures w14:val="none"/>
        </w:rPr>
      </w:r>
      <w:r>
        <w:rPr>
          <w:sz w:val="27"/>
          <w:szCs w:val="27"/>
          <w:highlight w:val="none"/>
          <w14:ligatures w14:val="none"/>
        </w:rPr>
      </w:r>
    </w:p>
    <w:p>
      <w:pPr>
        <w:pStyle w:val="774"/>
        <w:ind w:firstLine="709"/>
        <w:jc w:val="both"/>
        <w:spacing w:line="360" w:lineRule="auto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- </w:t>
      </w:r>
      <w:r>
        <w:rPr>
          <w:sz w:val="27"/>
          <w:szCs w:val="27"/>
          <w:highlight w:val="none"/>
        </w:rPr>
        <w:t xml:space="preserve">увеличения объема налоговых и неналоговых доходов на сумму 257 938 000,00 </w:t>
      </w:r>
      <w:r>
        <w:rPr>
          <w:sz w:val="27"/>
          <w:szCs w:val="27"/>
          <w:highlight w:val="none"/>
        </w:rPr>
        <w:t xml:space="preserve">рублей;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09"/>
        <w:jc w:val="both"/>
        <w:spacing w:line="360" w:lineRule="auto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- сокращения профицита бюджета в сумме 500 000 000,00 рублей.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09"/>
        <w:jc w:val="both"/>
        <w:spacing w:line="360" w:lineRule="auto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Сокращение</w:t>
      </w:r>
      <w:r>
        <w:rPr>
          <w:sz w:val="27"/>
          <w:szCs w:val="27"/>
          <w:highlight w:val="none"/>
        </w:rPr>
        <w:t xml:space="preserve"> профицита предусмотрено ввиду принятия решения о переносе срока возврата с 2026 года на 2028 год</w:t>
      </w:r>
      <w:r>
        <w:rPr>
          <w:sz w:val="27"/>
          <w:szCs w:val="27"/>
          <w:highlight w:val="none"/>
        </w:rPr>
        <w:t xml:space="preserve">  </w:t>
      </w:r>
      <w:r>
        <w:rPr>
          <w:rFonts w:eastAsia="Calibri"/>
          <w:sz w:val="27"/>
          <w:szCs w:val="27"/>
          <w:highlight w:val="none"/>
          <w:lang w:eastAsia="en-US"/>
        </w:rPr>
        <w:t xml:space="preserve">финансовых активов в собственности городских округов </w:t>
      </w:r>
      <w:r>
        <w:rPr>
          <w:rFonts w:eastAsia="Calibri"/>
          <w:sz w:val="27"/>
          <w:szCs w:val="27"/>
          <w:highlight w:val="none"/>
          <w:lang w:eastAsia="en-US"/>
        </w:rPr>
        <w:t xml:space="preserve">за счет средств организаций, учредителями которых являются городские </w:t>
      </w:r>
      <w:r>
        <w:rPr>
          <w:rFonts w:eastAsia="Calibri"/>
          <w:sz w:val="27"/>
          <w:szCs w:val="27"/>
          <w:highlight w:val="none"/>
          <w:lang w:eastAsia="en-US"/>
        </w:rPr>
        <w:t xml:space="preserve">округа</w:t>
      </w:r>
      <w:r>
        <w:rPr>
          <w:rFonts w:eastAsia="Calibri"/>
          <w:sz w:val="27"/>
          <w:szCs w:val="27"/>
          <w:highlight w:val="none"/>
          <w:lang w:eastAsia="en-US"/>
        </w:rPr>
        <w:t xml:space="preserve"> и лицевые счета которым открыты в т</w:t>
      </w:r>
      <w:r>
        <w:rPr>
          <w:rFonts w:eastAsia="Calibri"/>
          <w:sz w:val="27"/>
          <w:szCs w:val="27"/>
          <w:highlight w:val="none"/>
          <w:lang w:eastAsia="en-US"/>
        </w:rPr>
        <w:t xml:space="preserve">ерриториальных органах </w:t>
      </w:r>
      <w:r>
        <w:rPr>
          <w:rFonts w:eastAsia="Calibri"/>
          <w:sz w:val="27"/>
          <w:szCs w:val="27"/>
          <w:highlight w:val="none"/>
          <w:lang w:eastAsia="en-US"/>
        </w:rPr>
        <w:t xml:space="preserve">Федерального казначейства или в финансовых органах муниципальных образований в соответствии с законодательством Российской </w:t>
      </w:r>
      <w:r>
        <w:rPr>
          <w:rFonts w:eastAsia="Calibri"/>
          <w:sz w:val="27"/>
          <w:szCs w:val="27"/>
          <w:highlight w:val="none"/>
          <w:lang w:eastAsia="en-US"/>
        </w:rPr>
        <w:t xml:space="preserve">Федерации </w:t>
      </w:r>
      <w:r>
        <w:rPr>
          <w:sz w:val="27"/>
          <w:szCs w:val="27"/>
          <w:highlight w:val="none"/>
          <w:lang w:eastAsia="en-US"/>
        </w:rPr>
        <w:t xml:space="preserve">(остатки средств на счетах муниципальных бюджетных и автономных учреждений) </w:t>
      </w:r>
      <w:r>
        <w:rPr>
          <w:sz w:val="27"/>
          <w:szCs w:val="27"/>
          <w:highlight w:val="none"/>
          <w:lang w:eastAsia="en-US"/>
        </w:rPr>
        <w:t xml:space="preserve">в сумме 500 000 000,00 руб</w:t>
      </w:r>
      <w:r>
        <w:rPr>
          <w:sz w:val="27"/>
          <w:szCs w:val="27"/>
          <w:highlight w:val="none"/>
          <w:lang w:eastAsia="en-US"/>
        </w:rPr>
        <w:t xml:space="preserve">лей</w:t>
      </w:r>
      <w:r>
        <w:rPr>
          <w:sz w:val="27"/>
          <w:szCs w:val="27"/>
          <w:highlight w:val="none"/>
          <w:lang w:eastAsia="en-US"/>
        </w:rPr>
        <w:t xml:space="preserve">, </w:t>
      </w:r>
      <w:r>
        <w:rPr>
          <w:sz w:val="27"/>
          <w:szCs w:val="27"/>
          <w:highlight w:val="none"/>
        </w:rPr>
        <w:t xml:space="preserve">привлеченных в 2025 году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left="0" w:right="0" w:firstLine="709"/>
        <w:jc w:val="both"/>
        <w:spacing w:line="360" w:lineRule="auto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3.2. В</w:t>
      </w:r>
      <w:r>
        <w:rPr>
          <w:sz w:val="27"/>
          <w:szCs w:val="27"/>
          <w:highlight w:val="none"/>
        </w:rPr>
        <w:t xml:space="preserve"> 2026 году з</w:t>
      </w:r>
      <w:r>
        <w:rPr>
          <w:sz w:val="27"/>
          <w:szCs w:val="27"/>
          <w:highlight w:val="none"/>
        </w:rPr>
        <w:t xml:space="preserve">а счет сокращения профицита, увеличения налоговых и неналоговых доходов, перераспределения средств финансового резерва</w:t>
      </w:r>
      <w:r>
        <w:rPr>
          <w:sz w:val="27"/>
          <w:szCs w:val="27"/>
          <w:highlight w:val="none"/>
        </w:rPr>
        <w:t xml:space="preserve"> проектом предусмотрено увеличение  бюджетных ассигнований на следующие мероприятия: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left="0" w:right="0" w:firstLine="709"/>
        <w:jc w:val="right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  <w:lang w:eastAsia="en-US"/>
        </w:rPr>
        <w:t xml:space="preserve">рублей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7194"/>
      </w:tblGrid>
      <w:tr>
        <w:tblPrEx/>
        <w:trPr>
          <w:trHeight w:val="295"/>
          <w:tblHeader/>
        </w:trPr>
        <w:tc>
          <w:tcPr>
            <w:tcW w:w="2659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b/>
                <w:bCs/>
                <w:color w:val="000000"/>
                <w:sz w:val="28"/>
                <w:szCs w:val="28"/>
                <w:highlight w:val="none"/>
              </w:rPr>
              <w:t xml:space="preserve">Сумма </w:t>
            </w:r>
            <w:r>
              <w:rPr>
                <w:b/>
                <w:bCs/>
                <w:color w:val="000000"/>
                <w:sz w:val="28"/>
                <w:szCs w:val="28"/>
                <w:highlight w:val="none"/>
              </w:rPr>
            </w:r>
            <w:r>
              <w:rPr>
                <w:b/>
                <w:bCs/>
                <w:color w:val="000000"/>
                <w:sz w:val="28"/>
                <w:szCs w:val="28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b/>
                <w:bCs/>
                <w:color w:val="000000"/>
                <w:sz w:val="28"/>
                <w:szCs w:val="28"/>
                <w:highlight w:val="none"/>
              </w:rPr>
              <w:t xml:space="preserve">Мероприятие</w:t>
            </w:r>
            <w:r>
              <w:rPr>
                <w:b/>
                <w:bCs/>
                <w:color w:val="000000"/>
                <w:sz w:val="28"/>
                <w:szCs w:val="28"/>
                <w:highlight w:val="none"/>
              </w:rPr>
            </w:r>
            <w:r>
              <w:rPr>
                <w:b/>
                <w:bCs/>
                <w:color w:val="000000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ind w:left="0" w:firstLine="0"/>
              <w:jc w:val="right"/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- 20 170 523,83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 Перераспределение средств финансового резерва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50 000 000,00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Увеличение Резервного фонда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240 000 000,00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 Для  предоставления субсидий на выполнение муниципального задания МБУ «СГТ»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95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146 936 325,23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На текущее содержание, обслуживание и эксплуатацию объектов наружного освещения </w:t>
            </w:r>
            <w:r>
              <w:rPr>
                <w:color w:val="auto"/>
                <w:sz w:val="20"/>
                <w:szCs w:val="20"/>
                <w:highlight w:val="none"/>
              </w:rPr>
            </w:r>
            <w:r>
              <w:rPr>
                <w:color w:val="auto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50 200 000,00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м</w:t>
            </w:r>
            <w:r>
              <w:rPr>
                <w:color w:val="000000" w:themeColor="text1"/>
                <w:sz w:val="24"/>
                <w:szCs w:val="24"/>
              </w:rPr>
              <w:t xml:space="preserve">ероприятия по благоустройству в рамках подготовки к ВЭФ 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40 000 000,00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</w:t>
            </w:r>
            <w:r>
              <w:rPr>
                <w:color w:val="000000" w:themeColor="text1"/>
                <w:sz w:val="24"/>
                <w:szCs w:val="24"/>
              </w:rPr>
              <w:t xml:space="preserve">уборку и содержание парков, скверов, пляжей, зоны отдыха «Спортивная Гавань»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40 000 000,00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п</w:t>
            </w:r>
            <w:r>
              <w:rPr>
                <w:color w:val="000000" w:themeColor="text1"/>
                <w:sz w:val="24"/>
                <w:szCs w:val="24"/>
              </w:rPr>
              <w:t xml:space="preserve">роведение мероприятий, посвященных празднованию Дня города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40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</w:rPr>
              <w:t xml:space="preserve">27 543 061,00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На выполнение проектных работ в рамках исполнения решения суда о рекультивации нарушенных земель (ликвидации мест несанкционированного размещения отходов)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24 569 939,00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с</w:t>
            </w:r>
            <w:r>
              <w:rPr>
                <w:color w:val="000000" w:themeColor="text1"/>
                <w:sz w:val="24"/>
                <w:szCs w:val="24"/>
              </w:rPr>
              <w:t xml:space="preserve">одержание зеленых насаждений за счет «экологических платежей»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15 286 857,93</w:t>
            </w:r>
            <w:r>
              <w:rPr>
                <w:color w:val="000000" w:themeColor="text1"/>
                <w14:ligatures w14:val="none"/>
              </w:rPr>
            </w:r>
            <w:r>
              <w:rPr>
                <w:color w:val="000000" w:themeColor="text1"/>
                <w14:ligatures w14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pStyle w:val="774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Для обеспечения соблюдения уровня софинансирования местным бюджетом в части р</w:t>
            </w:r>
            <w:r>
              <w:rPr>
                <w:sz w:val="24"/>
                <w:szCs w:val="24"/>
              </w:rPr>
              <w:t xml:space="preserve">еализации программ формирования современной городской среды</w:t>
            </w:r>
            <w:r>
              <w:rPr>
                <w:bCs/>
                <w:color w:val="000000"/>
                <w:sz w:val="28"/>
                <w:szCs w:val="28"/>
              </w:rPr>
            </w:r>
            <w:r>
              <w:rPr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15 000 000,00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На осуществление мероприятий по увековечиванию памяти участников СВО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15 000 000,00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На организацию и проведение городского праздника «День молодежи»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14 968 800,00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организацию и проведение мероприятия городской последний звонок «Навсегда в сердечке»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shd w:val="clear" w:color="ffffff" w:themeColor="background1" w:fill="ffffff" w:themeFill="background1"/>
              <w:rPr>
                <w:color w:val="auto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13 791 958,24</w:t>
            </w:r>
            <w:r>
              <w:rPr>
                <w:color w:val="auto"/>
                <w:highlight w:val="white"/>
              </w:rPr>
            </w:r>
            <w:r>
              <w:rPr>
                <w:color w:val="auto"/>
                <w:highlight w:val="whit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shd w:val="clear" w:color="ffffff" w:themeColor="background1" w:fill="ffffff" w:themeFill="background1"/>
              <w:rPr>
                <w:color w:val="auto"/>
                <w:sz w:val="20"/>
                <w:szCs w:val="20"/>
                <w:highlight w:val="white"/>
              </w:rPr>
            </w:pPr>
            <w:r>
              <w:rPr>
                <w:color w:val="auto"/>
                <w:sz w:val="24"/>
                <w:szCs w:val="24"/>
                <w:highlight w:val="white"/>
              </w:rPr>
              <w:t xml:space="preserve">На мероприятия по у</w:t>
            </w:r>
            <w:r>
              <w:rPr>
                <w:color w:val="auto"/>
                <w:sz w:val="24"/>
                <w:szCs w:val="24"/>
                <w:highlight w:val="white"/>
              </w:rPr>
              <w:t xml:space="preserve">силению металлических балок покрытия МБУ ДО «СШ Бастион» (согласно представлению прокуратуру)</w:t>
            </w:r>
            <w:r>
              <w:rPr>
                <w:color w:val="auto"/>
                <w:sz w:val="20"/>
                <w:szCs w:val="20"/>
                <w:highlight w:val="white"/>
              </w:rPr>
            </w:r>
            <w:r>
              <w:rPr>
                <w:color w:val="auto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</w:rPr>
              <w:t xml:space="preserve">11 936 358,12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  <w:t xml:space="preserve">На проведение а</w:t>
            </w:r>
            <w:r>
              <w:rPr>
                <w:color w:val="auto"/>
                <w:sz w:val="24"/>
                <w:szCs w:val="24"/>
              </w:rPr>
              <w:t xml:space="preserve">варийно-восстановительных работ по ЧС (прокладка обводного трубопровода поврежденной тепловой сети по ул. А.Щетининой, 29-35)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10 000 000,00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4"/>
                <w:szCs w:val="24"/>
                <w:u w:val="none"/>
              </w:rPr>
              <w:t xml:space="preserve">На проведение 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sz w:val="24"/>
                <w:szCs w:val="24"/>
                <w:u w:val="none"/>
                <w:vertAlign w:val="baseline"/>
              </w:rPr>
              <w:t xml:space="preserve">емонта дорог, тротуаров, ливневых стоков в соответствии с судебными  решениями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7 500 000,00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с</w:t>
            </w:r>
            <w:r>
              <w:rPr>
                <w:color w:val="000000" w:themeColor="text1"/>
                <w:sz w:val="24"/>
                <w:szCs w:val="24"/>
              </w:rPr>
              <w:t xml:space="preserve">оздание авто парковки на Санаторной </w:t>
            </w:r>
            <w:r>
              <w:rPr>
                <w:color w:val="000000" w:themeColor="text1"/>
                <w:sz w:val="24"/>
                <w:szCs w:val="24"/>
              </w:rPr>
              <w:t xml:space="preserve"> (МКУ «ЦОДД»)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21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7 346 424,46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аренду биотуалетов, на </w:t>
            </w:r>
            <w:r>
              <w:rPr>
                <w:color w:val="000000" w:themeColor="text1"/>
                <w:sz w:val="24"/>
                <w:szCs w:val="24"/>
              </w:rPr>
              <w:t xml:space="preserve">благоустройство пешеходного перехода (ул. Сахалинская, 38)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6 758 113,71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погашение к</w:t>
            </w:r>
            <w:r>
              <w:rPr>
                <w:color w:val="000000" w:themeColor="text1"/>
                <w:sz w:val="24"/>
                <w:szCs w:val="24"/>
              </w:rPr>
              <w:t xml:space="preserve">редиторской задолженности с</w:t>
            </w:r>
            <w:r>
              <w:rPr>
                <w:color w:val="000000" w:themeColor="text1"/>
                <w:sz w:val="24"/>
                <w:szCs w:val="24"/>
              </w:rPr>
              <w:t xml:space="preserve">троительству транспортной развязки в районе «Зеленый угол»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5 600 000,00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текущее содержание и разработку </w:t>
            </w:r>
            <w:r>
              <w:rPr>
                <w:color w:val="000000" w:themeColor="text1"/>
                <w:sz w:val="24"/>
                <w:szCs w:val="24"/>
              </w:rPr>
              <w:t xml:space="preserve"> участков, планирование территории мест захоронения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2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5 500 000,00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оплату контракта по разработке проектной документации для строительства объекта «Надземный пешеходный переход через автомобильную дорогу и железнодорожные пути в районе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ул. Фадеева, д. 16 </w:t>
            </w:r>
            <w:r>
              <w:rPr>
                <w:color w:val="000000" w:themeColor="text1"/>
                <w:sz w:val="24"/>
                <w:szCs w:val="24"/>
              </w:rPr>
              <w:t xml:space="preserve">(МКУ «ЦОДД»)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5 195 907,00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возмещение части затрат по электрической и тепловой энергии, в связи  с перевозкой пассажиров и багажа городским наземным электрическим транспортом (фуникулер)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3 989 000,00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На с</w:t>
            </w:r>
            <w:r>
              <w:rPr>
                <w:color w:val="000000" w:themeColor="text1"/>
                <w:sz w:val="24"/>
                <w:szCs w:val="24"/>
              </w:rPr>
              <w:t xml:space="preserve">одержание автопарковки  на улице Верхнепортовая </w:t>
            </w:r>
            <w:r>
              <w:rPr>
                <w:color w:val="000000" w:themeColor="text1"/>
                <w:sz w:val="24"/>
                <w:szCs w:val="24"/>
              </w:rPr>
              <w:t xml:space="preserve"> (МКУ «ЦОДД»)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3 906 000,00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оценку изымаемого и предоставляемого помещения по 126-ти помещениям, запланированным  к расселению в многоквартирные дома по адресу: ул. Русская, 57 ш.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  <w14:ligatures w14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14:ligatures w14:val="none"/>
              </w:rPr>
            </w:r>
            <w:r>
              <w:rPr>
                <w:color w:val="auto"/>
                <w:sz w:val="24"/>
                <w:szCs w:val="24"/>
                <w14:ligatures w14:val="none"/>
              </w:rPr>
            </w:r>
          </w:p>
          <w:p>
            <w:pPr>
              <w:jc w:val="right"/>
              <w:rPr>
                <w:color w:val="auto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auto"/>
                <w:sz w:val="24"/>
                <w:szCs w:val="24"/>
              </w:rPr>
              <w:t xml:space="preserve">3 113 194,14</w:t>
            </w:r>
            <w:r>
              <w:rPr>
                <w:color w:val="auto"/>
                <w:sz w:val="24"/>
                <w:szCs w:val="24"/>
                <w:highlight w:val="none"/>
                <w14:ligatures w14:val="none"/>
              </w:rPr>
            </w:r>
            <w:r>
              <w:rPr>
                <w:color w:val="auto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  <w14:ligatures w14:val="none"/>
              </w:rPr>
            </w:pPr>
            <w:r>
              <w:rPr>
                <w:color w:val="auto"/>
                <w:sz w:val="24"/>
                <w:szCs w:val="24"/>
              </w:rPr>
              <w:t xml:space="preserve">На проведение а</w:t>
            </w:r>
            <w:r>
              <w:rPr>
                <w:color w:val="auto"/>
                <w:sz w:val="24"/>
                <w:szCs w:val="24"/>
              </w:rPr>
              <w:t xml:space="preserve">варийно-восстановительных работ по ЧС (замена насосного оборудования на КНС по ул. Глинки, 30)</w:t>
            </w:r>
            <w:r>
              <w:rPr>
                <w:color w:val="auto"/>
                <w:sz w:val="20"/>
                <w:szCs w:val="20"/>
                <w14:ligatures w14:val="none"/>
              </w:rPr>
            </w:r>
            <w:r>
              <w:rPr>
                <w:color w:val="auto"/>
                <w:sz w:val="20"/>
                <w:szCs w:val="20"/>
                <w14:ligatures w14:val="none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</w:rPr>
              <w:t xml:space="preserve">3 100 000,00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На оказание финансовой поддержки СОНКО  в рамках реализации общественно значимых программ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2 500 000,00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разработку проектной документации по выполнению  аварийно-восстановительных работ  капитального характера по адресу Почтовый переулок д. 5 А, 5 Б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  <w:highlight w:val="red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1 796 625,00</w:t>
            </w:r>
            <w:r>
              <w:rPr>
                <w:color w:val="auto"/>
                <w:sz w:val="24"/>
                <w:szCs w:val="24"/>
                <w:highlight w:val="red"/>
              </w:rPr>
            </w:r>
            <w:r>
              <w:rPr>
                <w:color w:val="auto"/>
                <w:sz w:val="24"/>
                <w:szCs w:val="24"/>
                <w:highlight w:val="red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auto"/>
                <w:sz w:val="20"/>
                <w:szCs w:val="20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На 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замену столбов ограждения вертодрома;</w:t>
            </w:r>
            <w:r>
              <w:rPr>
                <w:color w:val="auto"/>
                <w:sz w:val="20"/>
                <w:szCs w:val="20"/>
                <w:highlight w:val="none"/>
              </w:rPr>
            </w:r>
            <w:r>
              <w:rPr>
                <w:color w:val="auto"/>
                <w:sz w:val="20"/>
                <w:szCs w:val="20"/>
                <w:highlight w:val="none"/>
              </w:rPr>
            </w:r>
          </w:p>
          <w:p>
            <w:pPr>
              <w:rPr>
                <w:color w:val="auto"/>
                <w:sz w:val="20"/>
                <w:szCs w:val="20"/>
                <w:highlight w:val="red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приобретение информационных щитов для размещения на пляжах</w:t>
            </w:r>
            <w:r>
              <w:rPr>
                <w:color w:val="auto"/>
                <w:sz w:val="20"/>
                <w:szCs w:val="20"/>
                <w:highlight w:val="red"/>
              </w:rPr>
            </w:r>
            <w:r>
              <w:rPr>
                <w:color w:val="auto"/>
                <w:sz w:val="20"/>
                <w:szCs w:val="20"/>
                <w:highlight w:val="red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1 601 460,00</w:t>
            </w:r>
            <w:r>
              <w:rPr>
                <w:color w:val="000000" w:themeColor="text1"/>
                <w14:ligatures w14:val="none"/>
              </w:rPr>
            </w:r>
            <w:r>
              <w:rPr>
                <w:color w:val="000000" w:themeColor="text1"/>
                <w14:ligatures w14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both"/>
              <w:rPr>
                <w:color w:val="000000" w:themeColor="text1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Выплаты работникам, являющимися бывшими участниками СВО (МКУ «УГЗ», МКУ «ЕДДС» МКУ «ВГПСС»)</w:t>
            </w:r>
            <w:r>
              <w:rPr>
                <w:color w:val="000000" w:themeColor="text1"/>
                <w:highlight w:val="none"/>
                <w14:ligatures w14:val="none"/>
              </w:rPr>
            </w:r>
            <w:r>
              <w:rPr>
                <w:color w:val="000000" w:themeColor="text1"/>
                <w:highlight w:val="none"/>
                <w14:ligatures w14:val="none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1 520 000,00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На о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беспечение ежемесячных выплат молодым педагогам</w:t>
            </w:r>
            <w:r>
              <w:rPr>
                <w:b w:val="0"/>
                <w:bCs w:val="0"/>
                <w:color w:val="000000" w:themeColor="text1"/>
                <w:sz w:val="20"/>
                <w:szCs w:val="20"/>
              </w:rPr>
            </w:r>
            <w:r>
              <w:rPr>
                <w:b w:val="0"/>
                <w:bCs w:val="0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1 256 500,00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демонтаж памятника Кириллу и Мефодию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17"/>
        </w:trPr>
        <w:tc>
          <w:tcPr>
            <w:tcW w:w="2659" w:type="dxa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1 000 000,00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  <w:t xml:space="preserve">На о</w:t>
            </w:r>
            <w:r>
              <w:rPr>
                <w:color w:val="auto"/>
                <w:sz w:val="24"/>
                <w:szCs w:val="24"/>
              </w:rPr>
              <w:t xml:space="preserve">казание содействия в реализации инициатив ТОС города Владивостока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1 000 000,00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На выполнение работ по приспособлению входных групп МКД под потребности инвалидов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181 000,00</w:t>
            </w:r>
            <w:r>
              <w:rPr>
                <w:color w:val="auto"/>
                <w:sz w:val="24"/>
                <w:szCs w:val="24"/>
                <w:highlight w:val="none"/>
              </w:rPr>
            </w:r>
            <w:r>
              <w:rPr>
                <w:color w:val="auto"/>
                <w:sz w:val="24"/>
                <w:szCs w:val="24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  <w:t xml:space="preserve">Награждение конкурсантов «Семья города Владивостока»</w:t>
            </w:r>
            <w:r>
              <w:rPr>
                <w:color w:val="auto"/>
                <w:sz w:val="20"/>
                <w:szCs w:val="20"/>
              </w:rPr>
            </w:r>
            <w:r>
              <w:rPr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593"/>
        </w:trPr>
        <w:tc>
          <w:tcPr>
            <w:tcW w:w="2659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color w:val="000000" w:themeColor="text1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11 000,00</w:t>
            </w:r>
            <w:r>
              <w:rPr>
                <w:color w:val="000000" w:themeColor="text1"/>
                <w14:ligatures w14:val="none"/>
              </w:rPr>
            </w:r>
            <w:r>
              <w:rPr>
                <w:color w:val="000000" w:themeColor="text1"/>
                <w14:ligatures w14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Прохождение обязательного обучения специалистов по обслуживанию светофоров </w:t>
            </w:r>
            <w:r>
              <w:rPr>
                <w:color w:val="000000" w:themeColor="text1"/>
                <w:sz w:val="24"/>
                <w:szCs w:val="24"/>
              </w:rPr>
              <w:t xml:space="preserve"> (МКУ «ЦОДД»)</w:t>
            </w:r>
            <w:r>
              <w:rPr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color w:val="000000" w:themeColor="text1"/>
                <w:sz w:val="20"/>
                <w:szCs w:val="20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W w:w="2659" w:type="dxa"/>
            <w:vMerge w:val="restart"/>
            <w:textDirection w:val="lrTb"/>
            <w:noWrap/>
          </w:tcPr>
          <w:p>
            <w:pPr>
              <w:jc w:val="right"/>
              <w:rPr>
                <w:b/>
                <w:bCs/>
                <w:sz w:val="28"/>
                <w:szCs w:val="28"/>
                <w:highlight w:val="none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 xml:space="preserve">757 938 000,00</w:t>
            </w:r>
            <w:r>
              <w:rPr>
                <w:b/>
                <w:bCs/>
                <w:sz w:val="28"/>
                <w:szCs w:val="28"/>
                <w:highlight w:val="none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7194" w:type="dxa"/>
            <w:vMerge w:val="restart"/>
            <w:textDirection w:val="lrTb"/>
            <w:noWrap/>
          </w:tcPr>
          <w:p>
            <w:pPr>
              <w:rPr>
                <w:b/>
                <w:bCs/>
                <w:sz w:val="28"/>
                <w:szCs w:val="28"/>
                <w:highlight w:val="none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 xml:space="preserve">ИТОГО</w:t>
            </w:r>
            <w:r>
              <w:rPr>
                <w:b/>
                <w:bCs/>
                <w:sz w:val="28"/>
                <w:szCs w:val="28"/>
                <w:highlight w:val="none"/>
              </w:rPr>
            </w:r>
            <w:r>
              <w:rPr>
                <w:b/>
                <w:bCs/>
                <w:sz w:val="28"/>
                <w:szCs w:val="28"/>
                <w:highlight w:val="none"/>
              </w:rPr>
            </w:r>
          </w:p>
        </w:tc>
      </w:tr>
    </w:tbl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  <w:lang w:eastAsia="en-US"/>
        </w:rPr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  <w:lang w:eastAsia="en-US"/>
        </w:rPr>
      </w:pPr>
      <w:r>
        <w:rPr>
          <w:rFonts w:eastAsia="Calibri"/>
          <w:sz w:val="28"/>
          <w:szCs w:val="28"/>
          <w:highlight w:val="none"/>
          <w:lang w:eastAsia="en-US"/>
        </w:rPr>
      </w:r>
      <w:r>
        <w:rPr>
          <w:rFonts w:eastAsia="Calibri"/>
          <w:sz w:val="28"/>
          <w:szCs w:val="28"/>
          <w:highlight w:val="none"/>
          <w:lang w:eastAsia="en-US"/>
        </w:rPr>
        <w:t xml:space="preserve">3.3. В 2027 году  проектом предусмотрено:</w:t>
      </w:r>
      <w:r>
        <w:rPr>
          <w:rFonts w:eastAsia="Calibri"/>
          <w:sz w:val="28"/>
          <w:szCs w:val="28"/>
          <w:highlight w:val="none"/>
          <w:lang w:eastAsia="en-US"/>
        </w:rPr>
      </w:r>
      <w:r>
        <w:rPr>
          <w:rFonts w:eastAsia="Calibri"/>
          <w:sz w:val="28"/>
          <w:szCs w:val="28"/>
          <w:highlight w:val="none"/>
          <w:lang w:eastAsia="en-US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1) увеличение расходной части бюджета  на сумму 728,07  рублей за счет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увеличения объемов межбюджетных трансфертов;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  <w:lang w:eastAsia="en-US"/>
          <w14:ligatures w14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2) распределение условно утверждаемых расходов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с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у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м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м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у </w:t>
      </w:r>
      <w:r>
        <w:rPr>
          <w:rFonts w:eastAsia="Calibri"/>
          <w:sz w:val="28"/>
          <w:szCs w:val="28"/>
          <w:highlight w:val="none"/>
          <w:lang w:eastAsia="en-US"/>
        </w:rPr>
        <w:t xml:space="preserve">138 881 664,11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у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б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л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й и выделение  бюджетных ассигнований:</w:t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  <w:lang w:eastAsia="en-US"/>
          <w14:ligatures w14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-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ГРБС «Управление дорог» в сумме 3 030 303,03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на о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беспечение уровня софинансирования  субсидии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по направлению «Проектирование, строительство (реконструкция) автомобильных дорог общего пользования населенных пунктов» в части реализации объекта: «Реконструкция Рудневского моста»;</w:t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  <w:lang w:eastAsia="en-US"/>
          <w14:ligatures w14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- ГРБС «Управление архитектуры и строительства объектов Владивостокского городского округа» в сумме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135 851 361,08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на выполнение работ по строительству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детского сада в районе ул. Кипарисовая, 4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 в связи с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увеличением цены муниципального контракта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.</w:t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  <w:lang w:eastAsia="en-US"/>
          <w14:ligatures w14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3.4. В 2028 году проектом предусмотрено уменьшение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расходной части бюджета на сумму 499 998 497,54 рублей за счет:</w:t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  <w:r>
        <w:rPr>
          <w:rFonts w:eastAsia="Calibri"/>
          <w:sz w:val="28"/>
          <w:szCs w:val="28"/>
          <w:highlight w:val="none"/>
          <w:lang w:eastAsia="en-US"/>
          <w14:ligatures w14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- увеличения объема межбюджетных трансфертов на сумму 1 502,46 рублей;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сокращения условно утверждаемых расходов на сумму 500 000 000,00 рублей в целях создания профицита бюджета </w:t>
      </w:r>
      <w:r>
        <w:rPr>
          <w:sz w:val="28"/>
          <w:szCs w:val="28"/>
          <w:highlight w:val="none"/>
        </w:rPr>
        <w:t xml:space="preserve">в связи с необходимостью обеспечения </w:t>
      </w:r>
      <w:r>
        <w:rPr>
          <w:sz w:val="28"/>
          <w:szCs w:val="28"/>
          <w:highlight w:val="none"/>
        </w:rPr>
        <w:t xml:space="preserve">возврата привлеченных в 2025 году 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финансовых активов в собственности городских округов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за счет средств организаций, учредителями которых являются городские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округа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и лицевые счета которым открыты в т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ерриториальных органах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Федерального казначейства или в финансовых органах муниципальных образований в соответствии с законодательством Российской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Федерации </w:t>
      </w:r>
      <w:r>
        <w:rPr>
          <w:sz w:val="28"/>
          <w:szCs w:val="28"/>
          <w:highlight w:val="none"/>
          <w:lang w:eastAsia="en-US"/>
        </w:rPr>
        <w:t xml:space="preserve">(остатки средств на счетах муниципальных бюджетных и автономных учреждений)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eastAsia="Calibri"/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</w:rPr>
        <w:t xml:space="preserve">Кроме того, проектом предусмотрено распределение условно утверждаемых расходов на сумму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121 212 121,21 рублей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и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в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ы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д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л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и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в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д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й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с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у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м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м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Г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Б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С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«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У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п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в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л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и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д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г</w:t>
      </w:r>
      <w:r>
        <w:rPr>
          <w:rFonts w:eastAsia="Calibri"/>
          <w:sz w:val="28"/>
          <w:szCs w:val="28"/>
          <w:highlight w:val="none"/>
          <w:lang w:eastAsia="en-US"/>
        </w:rPr>
        <w:t xml:space="preserve">»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б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ю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д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ж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е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т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ы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х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с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с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и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г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в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а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и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й</w:t>
      </w:r>
      <w:r>
        <w:rPr>
          <w:rFonts w:eastAsia="Calibri"/>
          <w:sz w:val="28"/>
          <w:szCs w:val="28"/>
          <w:highlight w:val="none"/>
          <w:lang w:eastAsia="en-US"/>
        </w:rPr>
        <w:t xml:space="preserve"> 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на </w:t>
      </w:r>
      <w:r>
        <w:rPr>
          <w:rStyle w:val="991"/>
          <w:color w:val="auto"/>
          <w:sz w:val="28"/>
          <w:szCs w:val="28"/>
          <w:highlight w:val="none"/>
          <w:shd w:val="clear" w:color="auto" w:fill="ffffff"/>
        </w:rPr>
        <w:t xml:space="preserve">соблюдение </w:t>
      </w:r>
      <w:r>
        <w:rPr>
          <w:rStyle w:val="991"/>
          <w:color w:val="auto"/>
          <w:sz w:val="28"/>
          <w:szCs w:val="28"/>
          <w:highlight w:val="none"/>
          <w:shd w:val="clear" w:color="auto" w:fill="ffffff"/>
        </w:rPr>
        <w:t xml:space="preserve">уровня софинансирования  субсидии </w:t>
      </w:r>
      <w:r>
        <w:rPr>
          <w:rStyle w:val="991"/>
          <w:color w:val="auto"/>
          <w:sz w:val="28"/>
          <w:szCs w:val="28"/>
          <w:highlight w:val="none"/>
          <w:shd w:val="clear" w:color="auto" w:fill="ffffff"/>
        </w:rPr>
        <w:t xml:space="preserve">по направлению «Проектирование, строительство (реконструкция) автомобильных дорог общего пользования населенных пунктов» в части реализации объекта: «Реконструкция Рудневского моста»</w:t>
      </w:r>
      <w:r>
        <w:rPr>
          <w:rStyle w:val="991"/>
          <w:color w:val="auto"/>
          <w:sz w:val="28"/>
          <w:szCs w:val="28"/>
          <w:highlight w:val="none"/>
          <w:shd w:val="clear" w:color="auto" w:fill="ffffff"/>
        </w:rPr>
        <w:t xml:space="preserve">.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highlight w:val="none"/>
          <w:lang w:eastAsia="en-US"/>
        </w:rPr>
        <w:t xml:space="preserve">4</w:t>
      </w:r>
      <w:r>
        <w:rPr>
          <w:rFonts w:eastAsia="Calibri"/>
          <w:sz w:val="28"/>
          <w:szCs w:val="28"/>
          <w:highlight w:val="none"/>
          <w:lang w:eastAsia="en-US"/>
        </w:rPr>
        <w:t xml:space="preserve">. П</w:t>
      </w:r>
      <w:r>
        <w:rPr>
          <w:rFonts w:eastAsia="Calibri"/>
          <w:sz w:val="28"/>
          <w:szCs w:val="28"/>
          <w:highlight w:val="none"/>
          <w:lang w:eastAsia="en-US"/>
        </w:rPr>
        <w:t xml:space="preserve">роектом предусмотрено уточнение объемов погашения привлеченных в 2025 году </w:t>
      </w:r>
      <w:r>
        <w:rPr>
          <w:sz w:val="28"/>
          <w:szCs w:val="28"/>
          <w:highlight w:val="none"/>
          <w:lang w:eastAsia="en-US"/>
        </w:rPr>
        <w:t xml:space="preserve">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</w:t>
      </w:r>
      <w:r>
        <w:rPr>
          <w:sz w:val="28"/>
          <w:szCs w:val="28"/>
          <w:highlight w:val="none"/>
          <w:lang w:eastAsia="en-US"/>
        </w:rPr>
        <w:t xml:space="preserve">ых образований в </w:t>
      </w:r>
      <w:r>
        <w:rPr>
          <w:sz w:val="28"/>
          <w:szCs w:val="28"/>
          <w:highlight w:val="none"/>
          <w:lang w:eastAsia="en-US"/>
        </w:rPr>
        <w:t xml:space="preserve">соответствии с законодательством Российской Федерации (остатки на счетах муниципальных бюджетных учреждений), а именно</w:t>
      </w:r>
      <w:r>
        <w:rPr>
          <w:sz w:val="28"/>
          <w:szCs w:val="28"/>
          <w:highlight w:val="none"/>
          <w:lang w:eastAsia="en-US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left="0" w:firstLine="720"/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  <w:t xml:space="preserve">- в 2026 году объем погашения привлеченных средств составит 150 000 000,00 рублей;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left="0" w:firstLine="720"/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  <w:t xml:space="preserve">- в 2027 году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  <w:t xml:space="preserve">объем погашения привлеченных средств составит 350 000 000,00 рублей;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left="0" w:firstLine="720"/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- в 2028 году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  <w:t xml:space="preserve">объем погашения привлеченных средств составит 500 000 000,00 рублей.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left="0" w:firstLine="720"/>
        <w:jc w:val="both"/>
        <w:spacing w:line="360" w:lineRule="auto"/>
        <w:rPr>
          <w:rFonts w:eastAsia="Calibri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en-US"/>
        </w:rPr>
        <w:t xml:space="preserve"> 5</w:t>
      </w:r>
      <w:r>
        <w:rPr>
          <w:rFonts w:eastAsia="Calibri"/>
          <w:sz w:val="28"/>
          <w:szCs w:val="28"/>
          <w:highlight w:val="none"/>
          <w:lang w:eastAsia="en-US"/>
        </w:rPr>
        <w:t xml:space="preserve">. В связи с корректировкой д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оходов и расходов бюджета Владивостокского гор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о</w:t>
      </w:r>
      <w:r>
        <w:rPr>
          <w:rFonts w:eastAsia="Calibri"/>
          <w:sz w:val="28"/>
          <w:szCs w:val="28"/>
          <w:highlight w:val="none"/>
          <w:lang w:eastAsia="en-US"/>
        </w:rPr>
        <w:t xml:space="preserve">дского округа внесены изменения в текстовую часть и табличные приложения муниципального правового акта города Владивостока от 23.12.2025 № 204-МПА «О бюджете Владивостокского городского округа на 2026 год и плановый период 2027 и 2028 годов» (далее - МПА).</w:t>
      </w:r>
      <w:r>
        <w:rPr>
          <w:rFonts w:eastAsia="Calibri"/>
          <w:sz w:val="28"/>
          <w:szCs w:val="28"/>
          <w:highlight w:val="none"/>
        </w:rPr>
      </w:r>
      <w:r>
        <w:rPr>
          <w:rFonts w:eastAsia="Calibri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В связи с выделением в проекте бюджетных ассигнований для предоставления грантов в форме субсидий </w:t>
      </w:r>
      <w:r>
        <w:rPr>
          <w:sz w:val="28"/>
          <w:szCs w:val="28"/>
          <w:highlight w:val="none"/>
        </w:rPr>
        <w:t xml:space="preserve">на реализацию социальных проектов</w:t>
      </w:r>
      <w:r>
        <w:rPr>
          <w:sz w:val="28"/>
          <w:szCs w:val="28"/>
          <w:highlight w:val="none"/>
        </w:rPr>
        <w:t xml:space="preserve"> муниципальный правовой акт дополнен пунктом 14(1) следующего содержания: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pStyle w:val="980"/>
        <w:contextualSpacing/>
        <w:ind w:left="0" w:righ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14(1). Установить, что из бюджета Владивостокского городского округа в порядке, установленном администрацией города Владивостока,  предоставляются гранты в форме субсидий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на финансовое обеспечение затрат социально ориентированных некоммерческих организаций города Владивостока, связанных с реализацией социальных проектов социально ориентированными некоммерческими организациями города Владивостока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Изложены в новой редакции следующие приложения к МПА: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  <w:highlight w:val="none"/>
        </w:rPr>
        <w:t xml:space="preserve">- приложение 1 «Источники внутреннего финансирования дефицита бюджета Владивостокского городского округа на 2026 год и плановый период 2027 и 2028 годов» (приложение 1);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contextualSpacing/>
        <w:ind w:firstLine="720"/>
        <w:jc w:val="both"/>
        <w:spacing w:line="360" w:lineRule="auto"/>
        <w:shd w:val="clear" w:color="auto" w:fill="ffffff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приложение 2 «</w:t>
      </w:r>
      <w:hyperlink dor:id="rId11" w:tooltip="https://login.consultant.ru/link/?req=doc&amp;base=RLAW020&amp;n=199701&amp;dst=100288" w:history="1">
        <w:r>
          <w:rPr>
            <w:sz w:val="28"/>
            <w:szCs w:val="28"/>
            <w:highlight w:val="none"/>
          </w:rPr>
          <w:t xml:space="preserve">Объем</w:t>
        </w:r>
      </w:hyperlink>
      <w:r>
        <w:rPr>
          <w:sz w:val="28"/>
          <w:szCs w:val="28"/>
          <w:highlight w:val="none"/>
        </w:rPr>
        <w:t xml:space="preserve"> межбюджетных трансфертов, получаемых бюджетом Владивостокского городского округа из других бюджетов бюджетной системы Российской Федерации, на 2026 год и плановый период 2027 и 2028 годов» изложить в новой редакции </w:t>
      </w:r>
      <w:hyperlink dor:id="rId12" w:tooltip="https://login.consultant.ru/link/?req=doc&amp;base=RLAW020&amp;n=201859&amp;dst=100049" w:history="1">
        <w:r>
          <w:rPr>
            <w:sz w:val="28"/>
            <w:szCs w:val="28"/>
            <w:highlight w:val="none"/>
          </w:rPr>
          <w:t xml:space="preserve">(приложение 2)</w:t>
        </w:r>
      </w:hyperlink>
      <w:r>
        <w:rPr>
          <w:sz w:val="28"/>
          <w:szCs w:val="28"/>
          <w:highlight w:val="none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right="-1"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приложение 3 «</w:t>
      </w:r>
      <w:r>
        <w:rPr>
          <w:sz w:val="28"/>
          <w:szCs w:val="28"/>
          <w:highlight w:val="none"/>
        </w:rPr>
        <w:t xml:space="preserve">Ведомственная структура расходов бюджета Владивостокск</w:t>
      </w:r>
      <w:r>
        <w:rPr>
          <w:sz w:val="28"/>
          <w:szCs w:val="28"/>
          <w:highlight w:val="none"/>
        </w:rPr>
        <w:t xml:space="preserve">ого городского округа на 2026 год и плановый период 2027 и 2028 годов</w:t>
      </w:r>
      <w:r>
        <w:rPr>
          <w:sz w:val="28"/>
          <w:szCs w:val="28"/>
          <w:highlight w:val="none"/>
        </w:rPr>
        <w:t xml:space="preserve">» (приложение 3);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right="-1"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приложение 4 «</w:t>
      </w:r>
      <w:r>
        <w:rPr>
          <w:sz w:val="28"/>
          <w:szCs w:val="28"/>
          <w:highlight w:val="none"/>
        </w:rPr>
        <w:t xml:space="preserve">Распределение бюджетных ассигнований по разделам, подразделам, целевым статьям </w:t>
      </w:r>
      <w:r>
        <w:rPr>
          <w:sz w:val="28"/>
          <w:szCs w:val="28"/>
          <w:highlight w:val="none"/>
        </w:rPr>
        <w:t xml:space="preserve">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</w:t>
      </w:r>
      <w:r>
        <w:rPr>
          <w:sz w:val="28"/>
          <w:szCs w:val="28"/>
          <w:highlight w:val="none"/>
        </w:rPr>
        <w:t xml:space="preserve">видов расходов классификации расходов бюджета Владивостокского городского округа</w:t>
      </w:r>
      <w:r>
        <w:rPr>
          <w:sz w:val="28"/>
          <w:szCs w:val="28"/>
          <w:highlight w:val="none"/>
        </w:rPr>
        <w:t xml:space="preserve"> на 2026 год и плановый период 2027 и 2028 годов</w:t>
      </w:r>
      <w:r>
        <w:rPr>
          <w:sz w:val="28"/>
          <w:szCs w:val="28"/>
          <w:highlight w:val="none"/>
        </w:rPr>
        <w:t xml:space="preserve">» (приложение 4);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right="-1"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приложение 5 «</w:t>
      </w:r>
      <w:r>
        <w:rPr>
          <w:sz w:val="28"/>
          <w:szCs w:val="28"/>
          <w:highlight w:val="none"/>
        </w:rPr>
        <w:t xml:space="preserve">Распределение бюджетных ассигнований по целевым статьям (муниципальным программам и </w:t>
      </w:r>
      <w:r>
        <w:rPr>
          <w:sz w:val="28"/>
          <w:szCs w:val="28"/>
          <w:highlight w:val="none"/>
        </w:rPr>
        <w:t xml:space="preserve">непрограммным</w:t>
      </w:r>
      <w:r>
        <w:rPr>
          <w:sz w:val="28"/>
          <w:szCs w:val="28"/>
          <w:highlight w:val="none"/>
        </w:rPr>
        <w:t xml:space="preserve"> направлениям деятельности), группам видов расходов классификации расходов бюджета Владивостокского городского округа на 2026 </w:t>
      </w:r>
      <w:r>
        <w:rPr>
          <w:sz w:val="28"/>
          <w:szCs w:val="28"/>
          <w:highlight w:val="none"/>
        </w:rPr>
        <w:t xml:space="preserve">год и плановый период 2027 и 2028 годов</w:t>
      </w:r>
      <w:r>
        <w:rPr>
          <w:sz w:val="28"/>
          <w:szCs w:val="28"/>
          <w:highlight w:val="none"/>
        </w:rPr>
        <w:t xml:space="preserve">» (приложение 5);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- приложение 8 «Бюджет муниципального дорожного фонда Владивостокского городского округа на 2026 год и плановый период 2027 и 2028 годов» (приложение 6).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0"/>
        <w:ind w:right="-58" w:firstLine="709"/>
        <w:spacing w:line="360" w:lineRule="auto"/>
        <w:widowControl w:val="off"/>
        <w:rPr>
          <w:szCs w:val="28"/>
          <w:highlight w:val="none"/>
        </w:rPr>
      </w:pPr>
      <w:r>
        <w:rPr>
          <w:szCs w:val="28"/>
          <w:highlight w:val="none"/>
          <w:lang w:val="ru-RU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pStyle w:val="960"/>
        <w:ind w:right="-58" w:firstLine="709"/>
        <w:spacing w:line="360" w:lineRule="auto"/>
        <w:widowControl w:val="off"/>
        <w:rPr>
          <w:szCs w:val="28"/>
          <w:highlight w:val="none"/>
        </w:rPr>
      </w:pPr>
      <w:r>
        <w:rPr>
          <w:szCs w:val="28"/>
          <w:highlight w:val="none"/>
          <w:lang w:val="ru-RU"/>
        </w:rPr>
      </w:r>
      <w:r>
        <w:rPr>
          <w:szCs w:val="28"/>
          <w:highlight w:val="none"/>
        </w:rPr>
      </w:r>
      <w:r>
        <w:rPr>
          <w:szCs w:val="28"/>
          <w:highlight w:val="none"/>
        </w:rPr>
      </w:r>
    </w:p>
    <w:p>
      <w:pPr>
        <w:ind w:firstLine="709"/>
        <w:jc w:val="both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9"/>
        <w:jc w:val="both"/>
        <w:widowControl w:val="o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60"/>
        <w:ind w:left="0" w:right="-1" w:firstLine="0"/>
        <w:jc w:val="left"/>
        <w:rPr>
          <w:lang w:val="ru-RU"/>
        </w:rPr>
      </w:pPr>
      <w:r>
        <w:rPr>
          <w:highlight w:val="none"/>
          <w:lang w:val="ru-RU"/>
        </w:rPr>
        <w:t xml:space="preserve">Первый заместитель главы администрации                                 С.М. Дмитриенко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sectPr>
      <w:headerReference w:type="default" dor:id="rId9"/>
      <w:headerReference w:type="even" dor:id="rId10"/>
      <w:footnotePr/>
      <w:endnotePr/>
      <w:type w:val="nextPage"/>
      <w:pgSz w:w="11906" w:h="16838" w:orient="portrait"/>
      <w:pgMar w:top="1134" w:right="851" w:bottom="1077" w:left="1418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Liberation Sans">
    <w:panose1 w:val="020B0604020202020204"/>
  </w:font>
  <w:font w:name="Wingdings">
    <w:panose1 w:val="05000000000000000000"/>
  </w:font>
  <w:font w:name="Times New Roman">
    <w:panose1 w:val="020206030504050203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5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rPr>
        <w:rStyle w:val="961"/>
      </w:rPr>
      <w:framePr w:wrap="around" w:vAnchor="text" w:hAnchor="margin" w:xAlign="center" w:y="1"/>
    </w:pPr>
    <w:r>
      <w:rPr>
        <w:rStyle w:val="961"/>
      </w:rPr>
      <w:fldChar w:fldCharType="begin"/>
    </w:r>
    <w:r>
      <w:rPr>
        <w:rStyle w:val="961"/>
      </w:rPr>
      <w:instrText xml:space="preserve">PAGE  </w:instrText>
    </w:r>
    <w:r>
      <w:rPr>
        <w:rStyle w:val="961"/>
      </w:rPr>
      <w:fldChar w:fldCharType="end"/>
    </w:r>
    <w:r>
      <w:rPr>
        <w:rStyle w:val="961"/>
      </w:rPr>
    </w:r>
    <w:r>
      <w:rPr>
        <w:rStyle w:val="961"/>
      </w:rPr>
    </w:r>
  </w:p>
  <w:p>
    <w:pPr>
      <w:pStyle w:val="9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90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62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34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6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8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50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22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4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68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26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98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70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42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4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86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58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0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028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5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7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7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6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28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00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2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4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6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8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0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2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9">
    <w:name w:val="Subtitle Char"/>
    <w:basedOn w:val="776"/>
    <w:link w:val="801"/>
    <w:uiPriority w:val="11"/>
    <w:rPr>
      <w:sz w:val="24"/>
      <w:szCs w:val="24"/>
    </w:rPr>
  </w:style>
  <w:style w:type="character" w:styleId="770">
    <w:name w:val="Quote Char"/>
    <w:link w:val="803"/>
    <w:uiPriority w:val="29"/>
    <w:rPr>
      <w:i/>
    </w:rPr>
  </w:style>
  <w:style w:type="character" w:styleId="771">
    <w:name w:val="Intense Quote Char"/>
    <w:link w:val="805"/>
    <w:uiPriority w:val="30"/>
    <w:rPr>
      <w:i/>
    </w:rPr>
  </w:style>
  <w:style w:type="character" w:styleId="772">
    <w:name w:val="Footnote Text Char"/>
    <w:link w:val="940"/>
    <w:uiPriority w:val="99"/>
    <w:rPr>
      <w:sz w:val="18"/>
    </w:rPr>
  </w:style>
  <w:style w:type="character" w:styleId="773">
    <w:name w:val="Endnote Text Char"/>
    <w:link w:val="943"/>
    <w:uiPriority w:val="99"/>
    <w:rPr>
      <w:sz w:val="20"/>
    </w:rPr>
  </w:style>
  <w:style w:type="paragraph" w:styleId="774" w:default="1">
    <w:name w:val="Normal"/>
    <w:qFormat/>
    <w:rPr>
      <w:lang w:eastAsia="ru-RU"/>
    </w:rPr>
  </w:style>
  <w:style w:type="paragraph" w:styleId="775">
    <w:name w:val="Heading 1"/>
    <w:basedOn w:val="774"/>
    <w:next w:val="774"/>
    <w:link w:val="975"/>
    <w:qFormat/>
    <w:pPr>
      <w:jc w:val="both"/>
      <w:keepNext/>
      <w:spacing w:line="360" w:lineRule="auto"/>
      <w:outlineLvl w:val="0"/>
    </w:pPr>
    <w:rPr>
      <w:sz w:val="28"/>
      <w:lang w:val="en-US" w:eastAsia="en-US"/>
    </w:rPr>
  </w:style>
  <w:style w:type="character" w:styleId="776" w:default="1">
    <w:name w:val="Default Paragraph Font"/>
    <w:uiPriority w:val="1"/>
    <w:semiHidden/>
    <w:unhideWhenUsed/>
  </w:style>
  <w:style w:type="table" w:styleId="77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8" w:default="1">
    <w:name w:val="No List"/>
    <w:uiPriority w:val="99"/>
    <w:semiHidden/>
    <w:unhideWhenUsed/>
  </w:style>
  <w:style w:type="paragraph" w:styleId="779" w:customStyle="1">
    <w:name w:val="Heading 1"/>
    <w:basedOn w:val="774"/>
    <w:next w:val="774"/>
    <w:link w:val="78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80" w:customStyle="1">
    <w:name w:val="Heading 1 Char"/>
    <w:link w:val="779"/>
    <w:uiPriority w:val="9"/>
    <w:rPr>
      <w:rFonts w:ascii="Arial" w:hAnsi="Arial" w:eastAsia="Arial" w:cs="Arial"/>
      <w:sz w:val="40"/>
      <w:szCs w:val="40"/>
    </w:rPr>
  </w:style>
  <w:style w:type="paragraph" w:styleId="781" w:customStyle="1">
    <w:name w:val="Heading 2"/>
    <w:basedOn w:val="774"/>
    <w:next w:val="774"/>
    <w:link w:val="7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82" w:customStyle="1">
    <w:name w:val="Heading 2 Char"/>
    <w:link w:val="781"/>
    <w:uiPriority w:val="9"/>
    <w:rPr>
      <w:rFonts w:ascii="Arial" w:hAnsi="Arial" w:eastAsia="Arial" w:cs="Arial"/>
      <w:sz w:val="34"/>
    </w:rPr>
  </w:style>
  <w:style w:type="paragraph" w:styleId="783" w:customStyle="1">
    <w:name w:val="Heading 3"/>
    <w:basedOn w:val="774"/>
    <w:next w:val="774"/>
    <w:link w:val="7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4" w:customStyle="1">
    <w:name w:val="Heading 3 Char"/>
    <w:link w:val="783"/>
    <w:uiPriority w:val="9"/>
    <w:rPr>
      <w:rFonts w:ascii="Arial" w:hAnsi="Arial" w:eastAsia="Arial" w:cs="Arial"/>
      <w:sz w:val="30"/>
      <w:szCs w:val="30"/>
    </w:rPr>
  </w:style>
  <w:style w:type="paragraph" w:styleId="785" w:customStyle="1">
    <w:name w:val="Heading 4"/>
    <w:basedOn w:val="774"/>
    <w:next w:val="774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4 Char"/>
    <w:link w:val="785"/>
    <w:uiPriority w:val="9"/>
    <w:rPr>
      <w:rFonts w:ascii="Arial" w:hAnsi="Arial" w:eastAsia="Arial" w:cs="Arial"/>
      <w:b/>
      <w:bCs/>
      <w:sz w:val="26"/>
      <w:szCs w:val="26"/>
    </w:rPr>
  </w:style>
  <w:style w:type="paragraph" w:styleId="787" w:customStyle="1">
    <w:name w:val="Heading 5"/>
    <w:basedOn w:val="774"/>
    <w:next w:val="774"/>
    <w:link w:val="7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5 Char"/>
    <w:link w:val="787"/>
    <w:uiPriority w:val="9"/>
    <w:rPr>
      <w:rFonts w:ascii="Arial" w:hAnsi="Arial" w:eastAsia="Arial" w:cs="Arial"/>
      <w:b/>
      <w:bCs/>
      <w:sz w:val="24"/>
      <w:szCs w:val="24"/>
    </w:rPr>
  </w:style>
  <w:style w:type="paragraph" w:styleId="789" w:customStyle="1">
    <w:name w:val="Heading 6"/>
    <w:basedOn w:val="774"/>
    <w:next w:val="774"/>
    <w:link w:val="7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6 Char"/>
    <w:link w:val="789"/>
    <w:uiPriority w:val="9"/>
    <w:rPr>
      <w:rFonts w:ascii="Arial" w:hAnsi="Arial" w:eastAsia="Arial" w:cs="Arial"/>
      <w:b/>
      <w:bCs/>
      <w:sz w:val="22"/>
      <w:szCs w:val="22"/>
    </w:rPr>
  </w:style>
  <w:style w:type="paragraph" w:styleId="791" w:customStyle="1">
    <w:name w:val="Heading 7"/>
    <w:basedOn w:val="774"/>
    <w:next w:val="774"/>
    <w:link w:val="7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2" w:customStyle="1">
    <w:name w:val="Heading 7 Char"/>
    <w:link w:val="7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3" w:customStyle="1">
    <w:name w:val="Heading 8"/>
    <w:basedOn w:val="774"/>
    <w:next w:val="774"/>
    <w:link w:val="7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4" w:customStyle="1">
    <w:name w:val="Heading 8 Char"/>
    <w:link w:val="793"/>
    <w:uiPriority w:val="9"/>
    <w:rPr>
      <w:rFonts w:ascii="Arial" w:hAnsi="Arial" w:eastAsia="Arial" w:cs="Arial"/>
      <w:i/>
      <w:iCs/>
      <w:sz w:val="22"/>
      <w:szCs w:val="22"/>
    </w:rPr>
  </w:style>
  <w:style w:type="paragraph" w:styleId="795" w:customStyle="1">
    <w:name w:val="Heading 9"/>
    <w:basedOn w:val="774"/>
    <w:next w:val="774"/>
    <w:link w:val="7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6" w:customStyle="1">
    <w:name w:val="Heading 9 Char"/>
    <w:link w:val="795"/>
    <w:uiPriority w:val="9"/>
    <w:rPr>
      <w:rFonts w:ascii="Arial" w:hAnsi="Arial" w:eastAsia="Arial" w:cs="Arial"/>
      <w:i/>
      <w:iCs/>
      <w:sz w:val="21"/>
      <w:szCs w:val="21"/>
    </w:rPr>
  </w:style>
  <w:style w:type="paragraph" w:styleId="797">
    <w:name w:val="List Paragraph"/>
    <w:basedOn w:val="774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798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99">
    <w:name w:val="Title"/>
    <w:basedOn w:val="774"/>
    <w:link w:val="968"/>
    <w:qFormat/>
    <w:pPr>
      <w:jc w:val="center"/>
    </w:pPr>
    <w:rPr>
      <w:b/>
      <w:sz w:val="28"/>
      <w:lang w:val="en-US" w:eastAsia="en-US"/>
    </w:rPr>
  </w:style>
  <w:style w:type="character" w:styleId="800" w:customStyle="1">
    <w:name w:val="Title Char"/>
    <w:link w:val="799"/>
    <w:uiPriority w:val="10"/>
    <w:rPr>
      <w:sz w:val="48"/>
      <w:szCs w:val="48"/>
    </w:rPr>
  </w:style>
  <w:style w:type="paragraph" w:styleId="801">
    <w:name w:val="Subtitle"/>
    <w:basedOn w:val="774"/>
    <w:next w:val="774"/>
    <w:link w:val="802"/>
    <w:uiPriority w:val="11"/>
    <w:qFormat/>
    <w:pPr>
      <w:spacing w:before="200" w:after="200"/>
    </w:pPr>
    <w:rPr>
      <w:sz w:val="24"/>
      <w:szCs w:val="24"/>
    </w:rPr>
  </w:style>
  <w:style w:type="character" w:styleId="802" w:customStyle="1">
    <w:name w:val="Подзаголовок Знак"/>
    <w:link w:val="801"/>
    <w:uiPriority w:val="11"/>
    <w:rPr>
      <w:sz w:val="24"/>
      <w:szCs w:val="24"/>
    </w:rPr>
  </w:style>
  <w:style w:type="paragraph" w:styleId="803">
    <w:name w:val="Quote"/>
    <w:basedOn w:val="774"/>
    <w:next w:val="774"/>
    <w:link w:val="804"/>
    <w:uiPriority w:val="29"/>
    <w:qFormat/>
    <w:pPr>
      <w:ind w:left="720" w:right="720"/>
    </w:pPr>
    <w:rPr>
      <w:i/>
    </w:rPr>
  </w:style>
  <w:style w:type="character" w:styleId="804" w:customStyle="1">
    <w:name w:val="Цитата 2 Знак"/>
    <w:link w:val="803"/>
    <w:uiPriority w:val="29"/>
    <w:rPr>
      <w:i/>
    </w:rPr>
  </w:style>
  <w:style w:type="paragraph" w:styleId="805">
    <w:name w:val="Intense Quote"/>
    <w:basedOn w:val="774"/>
    <w:next w:val="774"/>
    <w:link w:val="8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6" w:customStyle="1">
    <w:name w:val="Выделенная цитата Знак"/>
    <w:link w:val="805"/>
    <w:uiPriority w:val="30"/>
    <w:rPr>
      <w:i/>
    </w:rPr>
  </w:style>
  <w:style w:type="paragraph" w:styleId="807" w:customStyle="1">
    <w:name w:val="Header"/>
    <w:basedOn w:val="774"/>
    <w:link w:val="8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08" w:customStyle="1">
    <w:name w:val="Header Char"/>
    <w:link w:val="807"/>
    <w:uiPriority w:val="99"/>
  </w:style>
  <w:style w:type="paragraph" w:styleId="809" w:customStyle="1">
    <w:name w:val="Footer"/>
    <w:basedOn w:val="774"/>
    <w:link w:val="8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10" w:customStyle="1">
    <w:name w:val="Footer Char"/>
    <w:link w:val="809"/>
    <w:uiPriority w:val="99"/>
  </w:style>
  <w:style w:type="paragraph" w:styleId="811" w:customStyle="1">
    <w:name w:val="Caption"/>
    <w:basedOn w:val="774"/>
    <w:next w:val="774"/>
    <w:link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2" w:customStyle="1">
    <w:name w:val="Caption Char"/>
    <w:link w:val="809"/>
    <w:uiPriority w:val="99"/>
  </w:style>
  <w:style w:type="table" w:styleId="813">
    <w:name w:val="Table Grid"/>
    <w:basedOn w:val="777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8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2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3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1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9">
    <w:name w:val="Hyperlink"/>
    <w:uiPriority w:val="99"/>
    <w:unhideWhenUsed/>
    <w:rPr>
      <w:color w:val="0000ff" w:themeColor="hyperlink"/>
      <w:u w:val="single"/>
    </w:rPr>
  </w:style>
  <w:style w:type="paragraph" w:styleId="940">
    <w:name w:val="footnote text"/>
    <w:basedOn w:val="774"/>
    <w:link w:val="941"/>
    <w:uiPriority w:val="99"/>
    <w:semiHidden/>
    <w:unhideWhenUsed/>
    <w:pPr>
      <w:spacing w:after="40"/>
    </w:pPr>
    <w:rPr>
      <w:sz w:val="18"/>
    </w:rPr>
  </w:style>
  <w:style w:type="character" w:styleId="941" w:customStyle="1">
    <w:name w:val="Текст сноски Знак"/>
    <w:link w:val="940"/>
    <w:uiPriority w:val="99"/>
    <w:rPr>
      <w:sz w:val="18"/>
    </w:rPr>
  </w:style>
  <w:style w:type="character" w:styleId="942">
    <w:name w:val="footnote reference"/>
    <w:uiPriority w:val="99"/>
    <w:unhideWhenUsed/>
    <w:rPr>
      <w:vertAlign w:val="superscript"/>
    </w:rPr>
  </w:style>
  <w:style w:type="paragraph" w:styleId="943">
    <w:name w:val="endnote text"/>
    <w:basedOn w:val="774"/>
    <w:link w:val="944"/>
    <w:uiPriority w:val="99"/>
    <w:semiHidden/>
    <w:unhideWhenUsed/>
  </w:style>
  <w:style w:type="character" w:styleId="944" w:customStyle="1">
    <w:name w:val="Текст концевой сноски Знак"/>
    <w:link w:val="943"/>
    <w:uiPriority w:val="99"/>
    <w:rPr>
      <w:sz w:val="20"/>
    </w:rPr>
  </w:style>
  <w:style w:type="character" w:styleId="945">
    <w:name w:val="endnote reference"/>
    <w:uiPriority w:val="99"/>
    <w:semiHidden/>
    <w:unhideWhenUsed/>
    <w:rPr>
      <w:vertAlign w:val="superscript"/>
    </w:rPr>
  </w:style>
  <w:style w:type="paragraph" w:styleId="946">
    <w:name w:val="toc 1"/>
    <w:basedOn w:val="774"/>
    <w:next w:val="774"/>
    <w:uiPriority w:val="39"/>
    <w:unhideWhenUsed/>
    <w:pPr>
      <w:spacing w:after="57"/>
    </w:pPr>
  </w:style>
  <w:style w:type="paragraph" w:styleId="947">
    <w:name w:val="toc 2"/>
    <w:basedOn w:val="774"/>
    <w:next w:val="774"/>
    <w:uiPriority w:val="39"/>
    <w:unhideWhenUsed/>
    <w:pPr>
      <w:ind w:left="283"/>
      <w:spacing w:after="57"/>
    </w:pPr>
  </w:style>
  <w:style w:type="paragraph" w:styleId="948">
    <w:name w:val="toc 3"/>
    <w:basedOn w:val="774"/>
    <w:next w:val="774"/>
    <w:uiPriority w:val="39"/>
    <w:unhideWhenUsed/>
    <w:pPr>
      <w:ind w:left="567"/>
      <w:spacing w:after="57"/>
    </w:pPr>
  </w:style>
  <w:style w:type="paragraph" w:styleId="949">
    <w:name w:val="toc 4"/>
    <w:basedOn w:val="774"/>
    <w:next w:val="774"/>
    <w:uiPriority w:val="39"/>
    <w:unhideWhenUsed/>
    <w:pPr>
      <w:ind w:left="850"/>
      <w:spacing w:after="57"/>
    </w:pPr>
  </w:style>
  <w:style w:type="paragraph" w:styleId="950">
    <w:name w:val="toc 5"/>
    <w:basedOn w:val="774"/>
    <w:next w:val="774"/>
    <w:uiPriority w:val="39"/>
    <w:unhideWhenUsed/>
    <w:pPr>
      <w:ind w:left="1134"/>
      <w:spacing w:after="57"/>
    </w:pPr>
  </w:style>
  <w:style w:type="paragraph" w:styleId="951">
    <w:name w:val="toc 6"/>
    <w:basedOn w:val="774"/>
    <w:next w:val="774"/>
    <w:uiPriority w:val="39"/>
    <w:unhideWhenUsed/>
    <w:pPr>
      <w:ind w:left="1417"/>
      <w:spacing w:after="57"/>
    </w:pPr>
  </w:style>
  <w:style w:type="paragraph" w:styleId="952">
    <w:name w:val="toc 7"/>
    <w:basedOn w:val="774"/>
    <w:next w:val="774"/>
    <w:uiPriority w:val="39"/>
    <w:unhideWhenUsed/>
    <w:pPr>
      <w:ind w:left="1701"/>
      <w:spacing w:after="57"/>
    </w:pPr>
  </w:style>
  <w:style w:type="paragraph" w:styleId="953">
    <w:name w:val="toc 8"/>
    <w:basedOn w:val="774"/>
    <w:next w:val="774"/>
    <w:uiPriority w:val="39"/>
    <w:unhideWhenUsed/>
    <w:pPr>
      <w:ind w:left="1984"/>
      <w:spacing w:after="57"/>
    </w:pPr>
  </w:style>
  <w:style w:type="paragraph" w:styleId="954">
    <w:name w:val="toc 9"/>
    <w:basedOn w:val="774"/>
    <w:next w:val="774"/>
    <w:uiPriority w:val="39"/>
    <w:unhideWhenUsed/>
    <w:pPr>
      <w:ind w:left="2268"/>
      <w:spacing w:after="57"/>
    </w:pPr>
  </w:style>
  <w:style w:type="paragraph" w:styleId="955">
    <w:name w:val="TOC Heading"/>
    <w:uiPriority w:val="39"/>
    <w:unhideWhenUsed/>
  </w:style>
  <w:style w:type="paragraph" w:styleId="956">
    <w:name w:val="table of figures"/>
    <w:basedOn w:val="774"/>
    <w:next w:val="774"/>
    <w:uiPriority w:val="99"/>
    <w:unhideWhenUsed/>
  </w:style>
  <w:style w:type="paragraph" w:styleId="957">
    <w:name w:val="Body Text"/>
    <w:basedOn w:val="774"/>
    <w:link w:val="972"/>
    <w:rPr>
      <w:sz w:val="28"/>
      <w:lang w:val="en-US" w:eastAsia="en-US"/>
    </w:rPr>
  </w:style>
  <w:style w:type="paragraph" w:styleId="958">
    <w:name w:val="Header"/>
    <w:basedOn w:val="774"/>
    <w:link w:val="967"/>
    <w:uiPriority w:val="99"/>
    <w:pPr>
      <w:tabs>
        <w:tab w:val="center" w:pos="4153" w:leader="none"/>
        <w:tab w:val="right" w:pos="8306" w:leader="none"/>
      </w:tabs>
    </w:pPr>
  </w:style>
  <w:style w:type="paragraph" w:styleId="959">
    <w:name w:val="Footer"/>
    <w:basedOn w:val="774"/>
    <w:pPr>
      <w:tabs>
        <w:tab w:val="center" w:pos="4153" w:leader="none"/>
        <w:tab w:val="right" w:pos="8306" w:leader="none"/>
      </w:tabs>
    </w:pPr>
  </w:style>
  <w:style w:type="paragraph" w:styleId="960">
    <w:name w:val="Body Text Indent"/>
    <w:basedOn w:val="774"/>
    <w:link w:val="969"/>
    <w:pPr>
      <w:ind w:firstLine="851"/>
      <w:jc w:val="both"/>
    </w:pPr>
    <w:rPr>
      <w:sz w:val="28"/>
      <w:lang w:val="en-US" w:eastAsia="en-US"/>
    </w:rPr>
  </w:style>
  <w:style w:type="character" w:styleId="961">
    <w:name w:val="page number"/>
    <w:basedOn w:val="776"/>
  </w:style>
  <w:style w:type="paragraph" w:styleId="962">
    <w:name w:val="Balloon Text"/>
    <w:basedOn w:val="774"/>
    <w:semiHidden/>
    <w:rPr>
      <w:rFonts w:ascii="Tahoma" w:hAnsi="Tahoma" w:cs="Tahoma"/>
      <w:sz w:val="16"/>
      <w:szCs w:val="16"/>
    </w:rPr>
  </w:style>
  <w:style w:type="paragraph" w:styleId="963">
    <w:name w:val="Body Text Indent 2"/>
    <w:basedOn w:val="774"/>
    <w:pPr>
      <w:ind w:left="283"/>
      <w:spacing w:after="120" w:line="480" w:lineRule="auto"/>
    </w:pPr>
  </w:style>
  <w:style w:type="paragraph" w:styleId="964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paragraph" w:styleId="965" w:customStyle="1">
    <w:name w:val="ConsNormal"/>
    <w:pPr>
      <w:ind w:right="19772" w:firstLine="720"/>
      <w:widowControl w:val="off"/>
    </w:pPr>
    <w:rPr>
      <w:rFonts w:ascii="Arial" w:hAnsi="Arial"/>
      <w:lang w:eastAsia="ru-RU"/>
    </w:rPr>
  </w:style>
  <w:style w:type="paragraph" w:styleId="966">
    <w:name w:val="Body Text Indent 3"/>
    <w:basedOn w:val="774"/>
    <w:link w:val="982"/>
    <w:uiPriority w:val="99"/>
    <w:pPr>
      <w:ind w:left="283"/>
      <w:spacing w:after="120"/>
    </w:pPr>
    <w:rPr>
      <w:sz w:val="16"/>
      <w:szCs w:val="16"/>
      <w:lang w:val="en-US" w:eastAsia="en-US"/>
    </w:rPr>
  </w:style>
  <w:style w:type="character" w:styleId="967" w:customStyle="1">
    <w:name w:val="Верхний колонтитул Знак"/>
    <w:basedOn w:val="776"/>
    <w:link w:val="958"/>
    <w:uiPriority w:val="99"/>
  </w:style>
  <w:style w:type="character" w:styleId="968" w:customStyle="1">
    <w:name w:val="Название Знак"/>
    <w:link w:val="799"/>
    <w:rPr>
      <w:b/>
      <w:sz w:val="28"/>
    </w:rPr>
  </w:style>
  <w:style w:type="character" w:styleId="969" w:customStyle="1">
    <w:name w:val="Основной текст с отступом Знак"/>
    <w:link w:val="960"/>
    <w:rPr>
      <w:sz w:val="28"/>
    </w:rPr>
  </w:style>
  <w:style w:type="paragraph" w:styleId="970">
    <w:name w:val="Body Text 2"/>
    <w:basedOn w:val="774"/>
    <w:link w:val="971"/>
    <w:pPr>
      <w:jc w:val="both"/>
      <w:widowControl w:val="off"/>
    </w:pPr>
    <w:rPr>
      <w:sz w:val="28"/>
    </w:rPr>
  </w:style>
  <w:style w:type="character" w:styleId="971" w:customStyle="1">
    <w:name w:val="Основной текст 2 Знак"/>
    <w:basedOn w:val="776"/>
    <w:link w:val="970"/>
  </w:style>
  <w:style w:type="character" w:styleId="972" w:customStyle="1">
    <w:name w:val="Основной текст Знак"/>
    <w:link w:val="957"/>
    <w:rPr>
      <w:sz w:val="28"/>
    </w:rPr>
  </w:style>
  <w:style w:type="paragraph" w:styleId="973">
    <w:name w:val="Plain Text"/>
    <w:basedOn w:val="774"/>
    <w:link w:val="974"/>
    <w:unhideWhenUsed/>
    <w:rPr>
      <w:rFonts w:ascii="Courier New" w:hAnsi="Courier New"/>
      <w:lang w:val="en-US" w:eastAsia="en-US"/>
    </w:rPr>
  </w:style>
  <w:style w:type="character" w:styleId="974" w:customStyle="1">
    <w:name w:val="Текст Знак"/>
    <w:link w:val="973"/>
    <w:rPr>
      <w:rFonts w:ascii="Courier New" w:hAnsi="Courier New"/>
    </w:rPr>
  </w:style>
  <w:style w:type="character" w:styleId="975" w:customStyle="1">
    <w:name w:val="Заголовок 1 Знак"/>
    <w:link w:val="775"/>
    <w:rPr>
      <w:sz w:val="28"/>
    </w:rPr>
  </w:style>
  <w:style w:type="paragraph" w:styleId="976" w:customStyle="1">
    <w:name w:val="заглавие"/>
    <w:basedOn w:val="774"/>
    <w:rPr>
      <w:sz w:val="28"/>
    </w:rPr>
  </w:style>
  <w:style w:type="paragraph" w:styleId="977" w:customStyle="1">
    <w:name w:val="Знак"/>
    <w:basedOn w:val="774"/>
    <w:pPr>
      <w:spacing w:after="160" w:line="240" w:lineRule="exact"/>
    </w:pPr>
    <w:rPr>
      <w:rFonts w:eastAsia="Calibri"/>
      <w:lang w:eastAsia="zh-CN"/>
    </w:rPr>
  </w:style>
  <w:style w:type="paragraph" w:styleId="978" w:customStyle="1">
    <w:name w:val="Обращение"/>
    <w:basedOn w:val="774"/>
    <w:pPr>
      <w:jc w:val="center"/>
    </w:pPr>
    <w:rPr>
      <w:sz w:val="28"/>
      <w:szCs w:val="28"/>
    </w:rPr>
  </w:style>
  <w:style w:type="paragraph" w:styleId="979" w:customStyle="1">
    <w:name w:val="Обычный1"/>
    <w:rPr>
      <w:sz w:val="24"/>
      <w:lang w:eastAsia="ru-RU"/>
    </w:rPr>
  </w:style>
  <w:style w:type="paragraph" w:styleId="980" w:customStyle="1">
    <w:name w:val="ConsPlusNormal"/>
    <w:rPr>
      <w:sz w:val="28"/>
      <w:szCs w:val="28"/>
      <w:lang w:eastAsia="ru-RU"/>
    </w:rPr>
  </w:style>
  <w:style w:type="paragraph" w:styleId="981">
    <w:name w:val="Normal (Web)"/>
    <w:basedOn w:val="774"/>
    <w:unhideWhenUsed/>
    <w:pPr>
      <w:ind w:firstLine="225"/>
      <w:spacing w:before="240" w:after="100" w:afterAutospacing="1"/>
    </w:pPr>
    <w:rPr>
      <w:rFonts w:ascii="Verdana" w:hAnsi="Verdana"/>
      <w:color w:val="000000"/>
      <w:sz w:val="16"/>
      <w:szCs w:val="16"/>
    </w:rPr>
  </w:style>
  <w:style w:type="character" w:styleId="982" w:customStyle="1">
    <w:name w:val="Основной текст с отступом 3 Знак"/>
    <w:link w:val="966"/>
    <w:uiPriority w:val="99"/>
    <w:rPr>
      <w:sz w:val="16"/>
      <w:szCs w:val="16"/>
    </w:rPr>
  </w:style>
  <w:style w:type="character" w:styleId="983">
    <w:name w:val="Emphasis"/>
    <w:basedOn w:val="776"/>
    <w:qFormat/>
    <w:rPr>
      <w:i/>
      <w:iCs/>
    </w:rPr>
  </w:style>
  <w:style w:type="paragraph" w:styleId="984" w:customStyle="1">
    <w:name w:val="ConsPlusTitle"/>
    <w:uiPriority w:val="99"/>
    <w:pPr>
      <w:widowControl w:val="off"/>
    </w:pPr>
    <w:rPr>
      <w:rFonts w:ascii="Arial" w:hAnsi="Arial" w:cs="Arial"/>
      <w:b/>
      <w:bCs/>
      <w:lang w:eastAsia="ru-RU"/>
    </w:rPr>
  </w:style>
  <w:style w:type="paragraph" w:styleId="985" w:customStyle="1">
    <w:name w:val="caaieiaie 6"/>
    <w:basedOn w:val="774"/>
    <w:next w:val="774"/>
    <w:pPr>
      <w:jc w:val="center"/>
      <w:keepNext/>
    </w:pPr>
    <w:rPr>
      <w:sz w:val="24"/>
      <w:szCs w:val="24"/>
    </w:rPr>
  </w:style>
  <w:style w:type="paragraph" w:styleId="986" w:customStyle="1">
    <w:name w:val="Основной текст1"/>
    <w:pPr>
      <w:jc w:val="both"/>
      <w:shd w:val="nil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lang w:eastAsia="ru-RU"/>
    </w:rPr>
  </w:style>
  <w:style w:type="character" w:styleId="987" w:customStyle="1">
    <w:name w:val="docdata;docy;v5;1591;bqiaagaaeyqcaaagiaiaaaovawaabamdaaaaaaaaaaaaaaaaaaaaaaaaaaaaaaaaaaaaaaaaaaaaaaaaaaaaaaaaaaaaaaaaaaaaaaaaaaaaaaaaaaaaaaaaaaaaaaaaaaaaaaaaaaaaaaaaaaaaaaaaaaaaaaaaaaaaaaaaaaaaaaaaaaaaaaaaaaaaaaaaaaaaaaaaaaaaaaaaaaaaaaaaaaaaaaaaaaaaaaaa"/>
  </w:style>
  <w:style w:type="paragraph" w:styleId="988" w:customStyle="1">
    <w:name w:val="958;bqiaagaaeyqcaaagiaiaaanbawaabwkdaaaaaaaaaaaaaaaaaaaaaaaaaaaaaaaaaaaaaaaaaaaaaaaaaaaaaaaaaaaaaaaaaaaaaaaaaaaaaaaaaaaaaaaaaaaaaaaaaaaaaaaaaaaaaaaaaaaaaaaaaaaaaaaaaaaaaaaaaaaaaaaaaaaaaaaaaaaaaaaaaaaaaaaaaaaaaaaaaaaaaaaaaaaaaaaaaaaaaaaaa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89" w:customStyle="1">
    <w:name w:val="1191"/>
    <w:basedOn w:val="825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90" w:customStyle="1">
    <w:name w:val="Обычный (веб)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991" w:customStyle="1">
    <w:name w:val="docdata"/>
    <w:basedOn w:val="827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s://login.consultant.ru/link/?req=doc&amp;base=RLAW020&amp;n=199701&amp;dst=100288" TargetMode="External"/><Relationship Id="rId12" Type="http://schemas.openxmlformats.org/officeDocument/2006/relationships/hyperlink" Target="https://login.consultant.ru/link/?req=doc&amp;base=RLAW020&amp;n=201859&amp;dst=10004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CtrlSoft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Ответы на вопросы депутатов городской Думы</dc:title>
  <dc:creator>P III 733</dc:creator>
  <cp:lastModifiedBy>pronina</cp:lastModifiedBy>
  <cp:revision>78</cp:revision>
  <dcterms:created xsi:type="dcterms:W3CDTF">2024-11-20T05:16:00Z</dcterms:created>
  <dcterms:modified xsi:type="dcterms:W3CDTF">2026-04-13T23:21:39Z</dcterms:modified>
  <cp:version>786432</cp:version>
</cp:coreProperties>
</file>